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Arial" w:eastAsia="仿宋_GB2312"/>
          <w:b/>
          <w:color w:val="auto"/>
          <w:sz w:val="28"/>
          <w:szCs w:val="28"/>
        </w:rPr>
      </w:pPr>
      <w:bookmarkStart w:id="0" w:name="_Toc65828643"/>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1"/>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default"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val="en-US" w:eastAsia="zh-CN"/>
        </w:rPr>
        <w:t>渗滤液处理系统外委运营范围</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1.人员配置</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本项目原则上以满足运行为基准，运行小组不少于10人：班长兼技术员1名，化验1名，运行倒班8人。</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2.制度管理</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为规范日常的运行管理、操作、等应制订不少于《运营方案》、《渗滤液处理系统管理制度》、《化验室手册》、《运行规程》、《设备维护规程》、《应急预案》等管理制度。</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3.运行水质控制要求</w:t>
      </w:r>
    </w:p>
    <w:tbl>
      <w:tblPr>
        <w:tblStyle w:val="12"/>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830"/>
        <w:gridCol w:w="1695"/>
        <w:gridCol w:w="1890"/>
        <w:gridCol w:w="168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项目名称</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COD(mg/L)</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BOD(mg/L)</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NH3-N(mg/L)</w:t>
            </w:r>
          </w:p>
        </w:tc>
        <w:tc>
          <w:tcPr>
            <w:tcW w:w="1682"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SS(mg/L)</w:t>
            </w: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调节池</w:t>
            </w:r>
          </w:p>
        </w:tc>
        <w:tc>
          <w:tcPr>
            <w:tcW w:w="1830" w:type="dxa"/>
            <w:noWrap w:val="0"/>
            <w:vAlign w:val="top"/>
          </w:tcPr>
          <w:p>
            <w:pPr>
              <w:spacing w:line="520" w:lineRule="exact"/>
              <w:rPr>
                <w:rFonts w:hint="eastAsia" w:ascii="仿宋_GB2312" w:hAnsi="仿宋" w:eastAsia="仿宋_GB2312" w:cs="仿宋"/>
                <w:sz w:val="28"/>
                <w:szCs w:val="28"/>
              </w:rPr>
            </w:pPr>
          </w:p>
        </w:tc>
        <w:tc>
          <w:tcPr>
            <w:tcW w:w="1695" w:type="dxa"/>
            <w:noWrap w:val="0"/>
            <w:vAlign w:val="top"/>
          </w:tcPr>
          <w:p>
            <w:pPr>
              <w:spacing w:line="520" w:lineRule="exact"/>
              <w:rPr>
                <w:rFonts w:hint="eastAsia" w:ascii="仿宋_GB2312" w:hAnsi="仿宋" w:eastAsia="仿宋_GB2312" w:cs="仿宋"/>
                <w:sz w:val="28"/>
                <w:szCs w:val="28"/>
              </w:rPr>
            </w:pPr>
          </w:p>
        </w:tc>
        <w:tc>
          <w:tcPr>
            <w:tcW w:w="1890" w:type="dxa"/>
            <w:noWrap w:val="0"/>
            <w:vAlign w:val="top"/>
          </w:tcPr>
          <w:p>
            <w:pPr>
              <w:spacing w:line="520" w:lineRule="exact"/>
              <w:rPr>
                <w:rFonts w:hint="eastAsia" w:ascii="仿宋_GB2312" w:hAnsi="仿宋" w:eastAsia="仿宋_GB2312" w:cs="仿宋"/>
                <w:sz w:val="28"/>
                <w:szCs w:val="28"/>
              </w:rPr>
            </w:pPr>
          </w:p>
        </w:tc>
        <w:tc>
          <w:tcPr>
            <w:tcW w:w="1682" w:type="dxa"/>
            <w:noWrap w:val="0"/>
            <w:vAlign w:val="top"/>
          </w:tcPr>
          <w:p>
            <w:pPr>
              <w:spacing w:line="520" w:lineRule="exact"/>
              <w:rPr>
                <w:rFonts w:hint="eastAsia" w:ascii="仿宋_GB2312" w:hAnsi="仿宋" w:eastAsia="仿宋_GB2312" w:cs="仿宋"/>
                <w:sz w:val="28"/>
                <w:szCs w:val="28"/>
              </w:rPr>
            </w:pP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厌氧罐</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10500</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4500</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3000</w:t>
            </w:r>
          </w:p>
        </w:tc>
        <w:tc>
          <w:tcPr>
            <w:tcW w:w="1682"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7700</w:t>
            </w: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生化池</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600</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80</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682"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15000</w:t>
            </w: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超滤</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600</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80</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682"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纳滤</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60</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682" w:type="dxa"/>
            <w:noWrap w:val="0"/>
            <w:vAlign w:val="top"/>
          </w:tcPr>
          <w:p>
            <w:pPr>
              <w:spacing w:line="520" w:lineRule="exact"/>
              <w:rPr>
                <w:rFonts w:hint="eastAsia" w:ascii="仿宋_GB2312" w:hAnsi="仿宋" w:eastAsia="仿宋_GB2312" w:cs="仿宋"/>
                <w:sz w:val="28"/>
                <w:szCs w:val="28"/>
              </w:rPr>
            </w:pP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反渗透</w:t>
            </w:r>
          </w:p>
        </w:tc>
        <w:tc>
          <w:tcPr>
            <w:tcW w:w="183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60</w:t>
            </w:r>
          </w:p>
        </w:tc>
        <w:tc>
          <w:tcPr>
            <w:tcW w:w="1695"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890"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10</w:t>
            </w:r>
          </w:p>
        </w:tc>
        <w:tc>
          <w:tcPr>
            <w:tcW w:w="1682" w:type="dxa"/>
            <w:noWrap w:val="0"/>
            <w:vAlign w:val="top"/>
          </w:tcPr>
          <w:p>
            <w:pPr>
              <w:spacing w:line="520" w:lineRule="exact"/>
              <w:rPr>
                <w:rFonts w:hint="eastAsia" w:ascii="仿宋_GB2312" w:hAnsi="仿宋" w:eastAsia="仿宋_GB2312" w:cs="仿宋"/>
                <w:sz w:val="28"/>
                <w:szCs w:val="28"/>
              </w:rPr>
            </w:pPr>
          </w:p>
        </w:tc>
        <w:tc>
          <w:tcPr>
            <w:tcW w:w="1153" w:type="dxa"/>
            <w:noWrap w:val="0"/>
            <w:vAlign w:val="top"/>
          </w:tcPr>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rPr>
              <w:t>7～8.5</w:t>
            </w:r>
          </w:p>
        </w:tc>
      </w:tr>
    </w:tbl>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4.工器具要求</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（1）运营单位自行配备日常所用工器具如潜污泵、水带、螺丝刀等常用工具等。</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（2）运营单位自行配备劳保用品、防护服、巡检气体检测仪、有机防毒面具、防爆手电筒、静电消除仪等安全防护用品。</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（3）运营单位自行配备化验仪器，包括检测COD、氨氮、ph、碱度、电导、氯离子等常规仪器。</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5、预计签署年限：1年。</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、运营期</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从正式接手渗沥液处理系统运营日开始，在运营期内乙方存在重大过错，导致环保处罚或其他较大运营损失的，甲方有权要求乙方进行赔偿。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val="en-US"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lang w:val="en-US" w:eastAsia="zh-CN"/>
        </w:rPr>
        <w:t>渗滤液处理系统外委运营项目（</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2024-064</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tbl>
      <w:tblPr>
        <w:tblStyle w:val="12"/>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365"/>
        <w:gridCol w:w="603"/>
        <w:gridCol w:w="1606"/>
        <w:gridCol w:w="1835"/>
        <w:gridCol w:w="1001"/>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165" w:type="dxa"/>
            <w:gridSpan w:val="7"/>
            <w:tcBorders>
              <w:top w:val="nil"/>
              <w:left w:val="nil"/>
              <w:bottom w:val="single" w:color="000000" w:sz="4" w:space="0"/>
              <w:right w:val="nil"/>
            </w:tcBorders>
            <w:shd w:val="clear" w:color="auto" w:fill="auto"/>
            <w:vAlign w:val="center"/>
          </w:tcPr>
          <w:p>
            <w:pPr>
              <w:jc w:val="left"/>
              <w:rPr>
                <w:rFonts w:hint="default"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1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57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8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59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3441"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仿宋" w:hAnsi="仿宋" w:eastAsia="仿宋" w:cs="仿宋"/>
                <w:i w:val="0"/>
                <w:iCs w:val="0"/>
                <w:color w:val="000000"/>
                <w:kern w:val="0"/>
                <w:sz w:val="20"/>
                <w:szCs w:val="20"/>
                <w:u w:val="none"/>
                <w:lang w:val="en-US" w:eastAsia="zh-CN" w:bidi="ar"/>
              </w:rPr>
              <w:t>投标标段</w:t>
            </w:r>
          </w:p>
        </w:tc>
        <w:tc>
          <w:tcPr>
            <w:tcW w:w="1595" w:type="dxa"/>
            <w:tcBorders>
              <w:top w:val="single" w:color="000000" w:sz="4" w:space="0"/>
              <w:left w:val="nil"/>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成立日期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营业执照签发日期</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登记状态</w:t>
            </w:r>
          </w:p>
        </w:tc>
        <w:tc>
          <w:tcPr>
            <w:tcW w:w="136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default" w:ascii="仿宋" w:hAnsi="仿宋" w:eastAsia="仿宋" w:cs="仿宋"/>
                <w:i w:val="0"/>
                <w:iCs w:val="0"/>
                <w:color w:val="000000"/>
                <w:kern w:val="0"/>
                <w:sz w:val="20"/>
                <w:szCs w:val="20"/>
                <w:u w:val="none"/>
                <w:lang w:val="en-US" w:eastAsia="zh-CN" w:bidi="ar"/>
              </w:rPr>
              <w:t>行业</w:t>
            </w:r>
          </w:p>
        </w:tc>
        <w:tc>
          <w:tcPr>
            <w:tcW w:w="3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纳税信用级别</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符合本项目要求的经营范围摘录</w:t>
            </w:r>
          </w:p>
        </w:tc>
        <w:tc>
          <w:tcPr>
            <w:tcW w:w="8005" w:type="dxa"/>
            <w:gridSpan w:val="6"/>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单位类型</w:t>
            </w:r>
          </w:p>
        </w:tc>
        <w:tc>
          <w:tcPr>
            <w:tcW w:w="800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单位性质</w:t>
            </w:r>
          </w:p>
        </w:tc>
        <w:tc>
          <w:tcPr>
            <w:tcW w:w="800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57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一般纳税人（ ）小规模纳税人（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增值税企业类型</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 币种</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人民币（）港元（） 美元（） 其他（）</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仿宋" w:hAnsi="仿宋" w:eastAsia="仿宋" w:cs="仿宋"/>
                <w:i w:val="0"/>
                <w:iCs w:val="0"/>
                <w:color w:val="000000"/>
                <w:kern w:val="0"/>
                <w:sz w:val="20"/>
                <w:szCs w:val="20"/>
                <w:u w:val="none"/>
                <w:lang w:val="en-US" w:eastAsia="zh-CN" w:bidi="ar"/>
              </w:rPr>
              <w:t>实缴资本</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开户银行</w:t>
            </w: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8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银行账号</w:t>
            </w:r>
          </w:p>
        </w:tc>
        <w:tc>
          <w:tcPr>
            <w:tcW w:w="2596" w:type="dxa"/>
            <w:gridSpan w:val="2"/>
            <w:tcBorders>
              <w:top w:val="single" w:color="000000" w:sz="4" w:space="0"/>
              <w:left w:val="nil"/>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default" w:ascii="仿宋" w:hAnsi="仿宋" w:eastAsia="仿宋" w:cs="仿宋"/>
                <w:i w:val="0"/>
                <w:iCs w:val="0"/>
                <w:color w:val="000000"/>
                <w:kern w:val="0"/>
                <w:sz w:val="20"/>
                <w:szCs w:val="20"/>
                <w:u w:val="none"/>
                <w:lang w:val="en-US" w:eastAsia="zh-CN" w:bidi="ar"/>
              </w:rPr>
              <w:t>职务及联系电话</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w:t>
            </w:r>
          </w:p>
        </w:tc>
        <w:tc>
          <w:tcPr>
            <w:tcW w:w="5409"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5409"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5409"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仿宋" w:hAnsi="仿宋" w:eastAsia="仿宋" w:cs="仿宋"/>
                <w:i w:val="0"/>
                <w:iCs w:val="0"/>
                <w:color w:val="000000"/>
                <w:kern w:val="0"/>
                <w:sz w:val="20"/>
                <w:szCs w:val="20"/>
                <w:u w:val="none"/>
                <w:lang w:val="en-US" w:eastAsia="zh-CN" w:bidi="ar"/>
              </w:rPr>
              <w:t>财务总监</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相关承诺</w:t>
            </w:r>
          </w:p>
        </w:tc>
        <w:tc>
          <w:tcPr>
            <w:tcW w:w="800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企业信用信息公示报告</w:t>
            </w:r>
          </w:p>
        </w:tc>
        <w:tc>
          <w:tcPr>
            <w:tcW w:w="8005"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存在清算信息（）；存在行政处罚信息（）；存在经营异常信息（）；存在严重违法信息（）；两年内的抽查检查信息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公共信用信息报告</w:t>
            </w:r>
          </w:p>
        </w:tc>
        <w:tc>
          <w:tcPr>
            <w:tcW w:w="8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本项目相关的资质证照</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default"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p>
    <w:p>
      <w:pPr>
        <w:pStyle w:val="15"/>
        <w:rPr>
          <w:rFonts w:hint="eastAsia"/>
        </w:rPr>
      </w:pPr>
    </w:p>
    <w:p>
      <w:pPr>
        <w:pStyle w:val="15"/>
        <w:rPr>
          <w:rFonts w:hint="eastAsia" w:ascii="仿宋_GB2312" w:eastAsia="仿宋_GB2312"/>
          <w:color w:val="auto"/>
          <w:sz w:val="32"/>
          <w:lang w:val="en-US" w:eastAsia="zh-CN"/>
        </w:rPr>
      </w:pPr>
      <w:bookmarkStart w:id="2" w:name="_GoBack"/>
      <w:bookmarkEnd w:id="2"/>
      <w:bookmarkStart w:id="1" w:name="End"/>
      <w:bookmarkEnd w:id="1"/>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4092529"/>
    <w:rsid w:val="04D57360"/>
    <w:rsid w:val="0639213D"/>
    <w:rsid w:val="081F7F55"/>
    <w:rsid w:val="09375706"/>
    <w:rsid w:val="0A8821D6"/>
    <w:rsid w:val="0B777256"/>
    <w:rsid w:val="0C6368FF"/>
    <w:rsid w:val="107F33E2"/>
    <w:rsid w:val="10C1008B"/>
    <w:rsid w:val="12CD3DBB"/>
    <w:rsid w:val="13934D27"/>
    <w:rsid w:val="148D0DA3"/>
    <w:rsid w:val="16954A6C"/>
    <w:rsid w:val="17B90DF1"/>
    <w:rsid w:val="1870645E"/>
    <w:rsid w:val="18E570E8"/>
    <w:rsid w:val="1A6803B6"/>
    <w:rsid w:val="1C4F2D03"/>
    <w:rsid w:val="1EE10380"/>
    <w:rsid w:val="200C6AB5"/>
    <w:rsid w:val="20CF32F1"/>
    <w:rsid w:val="217B04DD"/>
    <w:rsid w:val="21DF10AD"/>
    <w:rsid w:val="23A30240"/>
    <w:rsid w:val="2AEA6823"/>
    <w:rsid w:val="2B236C4F"/>
    <w:rsid w:val="2CB7386A"/>
    <w:rsid w:val="2D0839C4"/>
    <w:rsid w:val="2E2A4680"/>
    <w:rsid w:val="2F896C41"/>
    <w:rsid w:val="32BF32A7"/>
    <w:rsid w:val="338A7F0A"/>
    <w:rsid w:val="34780C53"/>
    <w:rsid w:val="3A2B02EC"/>
    <w:rsid w:val="3D361A26"/>
    <w:rsid w:val="3F6F5ED1"/>
    <w:rsid w:val="3F983A86"/>
    <w:rsid w:val="400B247B"/>
    <w:rsid w:val="424A7AE7"/>
    <w:rsid w:val="43D916B8"/>
    <w:rsid w:val="44932BEF"/>
    <w:rsid w:val="453D45F2"/>
    <w:rsid w:val="4566763F"/>
    <w:rsid w:val="46B457D0"/>
    <w:rsid w:val="47261C3D"/>
    <w:rsid w:val="48752D96"/>
    <w:rsid w:val="4AA94BEF"/>
    <w:rsid w:val="4C112FF3"/>
    <w:rsid w:val="4C852A0A"/>
    <w:rsid w:val="4DB538B9"/>
    <w:rsid w:val="4DD94EEC"/>
    <w:rsid w:val="4E1253E1"/>
    <w:rsid w:val="4F3F0234"/>
    <w:rsid w:val="4FBF6451"/>
    <w:rsid w:val="50F1344C"/>
    <w:rsid w:val="52171610"/>
    <w:rsid w:val="54BC3F27"/>
    <w:rsid w:val="54E62189"/>
    <w:rsid w:val="575E3F95"/>
    <w:rsid w:val="58222830"/>
    <w:rsid w:val="58D13B7F"/>
    <w:rsid w:val="59D32AE1"/>
    <w:rsid w:val="5A461CAE"/>
    <w:rsid w:val="5C0E3941"/>
    <w:rsid w:val="5C6825AA"/>
    <w:rsid w:val="5E0A3B9C"/>
    <w:rsid w:val="5F6302C6"/>
    <w:rsid w:val="5FC353A5"/>
    <w:rsid w:val="604F449B"/>
    <w:rsid w:val="60AB7E86"/>
    <w:rsid w:val="63D66318"/>
    <w:rsid w:val="6587755B"/>
    <w:rsid w:val="65D60782"/>
    <w:rsid w:val="667E2026"/>
    <w:rsid w:val="67755B92"/>
    <w:rsid w:val="67B0620F"/>
    <w:rsid w:val="68303598"/>
    <w:rsid w:val="694D4756"/>
    <w:rsid w:val="6A9F07BD"/>
    <w:rsid w:val="6ACD1926"/>
    <w:rsid w:val="6B7D2A29"/>
    <w:rsid w:val="6CEF242D"/>
    <w:rsid w:val="7129774D"/>
    <w:rsid w:val="72201FFF"/>
    <w:rsid w:val="74E25B87"/>
    <w:rsid w:val="75945B50"/>
    <w:rsid w:val="76110FC9"/>
    <w:rsid w:val="770C66B0"/>
    <w:rsid w:val="783771FF"/>
    <w:rsid w:val="7A202FC2"/>
    <w:rsid w:val="7DCE2806"/>
    <w:rsid w:val="7E496058"/>
    <w:rsid w:val="7EE1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sz w:val="30"/>
      <w:szCs w:val="20"/>
    </w:rPr>
  </w:style>
  <w:style w:type="paragraph" w:styleId="6">
    <w:name w:val="Normal Indent"/>
    <w:basedOn w:val="1"/>
    <w:qFormat/>
    <w:uiPriority w:val="0"/>
    <w:pPr>
      <w:ind w:firstLine="420"/>
    </w:pPr>
    <w:rPr>
      <w:szCs w:val="20"/>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sz w:val="24"/>
      <w:szCs w:val="24"/>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9">
    <w:name w:val="font01"/>
    <w:basedOn w:val="13"/>
    <w:qFormat/>
    <w:uiPriority w:val="0"/>
    <w:rPr>
      <w:rFonts w:hint="default" w:ascii="仿宋" w:hAnsi="仿宋" w:eastAsia="仿宋" w:cs="仿宋"/>
      <w:b/>
      <w:bCs/>
      <w:color w:val="000000"/>
      <w:sz w:val="20"/>
      <w:szCs w:val="20"/>
      <w:u w:val="none"/>
    </w:rPr>
  </w:style>
  <w:style w:type="character" w:customStyle="1" w:styleId="20">
    <w:name w:val="font31"/>
    <w:basedOn w:val="13"/>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8764</Words>
  <Characters>9137</Characters>
  <Lines>0</Lines>
  <Paragraphs>0</Paragraphs>
  <TotalTime>14</TotalTime>
  <ScaleCrop>false</ScaleCrop>
  <LinksUpToDate>false</LinksUpToDate>
  <CharactersWithSpaces>9999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2024-03-18T23:51:00Z</cp:lastPrinted>
  <dcterms:modified xsi:type="dcterms:W3CDTF">2024-07-05T06:16:23Z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01D7F0387A514D7987A335F2FEE12FBA_13</vt:lpwstr>
  </property>
</Properties>
</file>