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jc w:val="center"/>
        <w:rPr>
          <w:rFonts w:hint="eastAsia" w:ascii="仿宋_GB2312" w:eastAsia="仿宋_GB2312"/>
          <w:b/>
          <w:color w:val="auto"/>
          <w:kern w:val="0"/>
          <w:sz w:val="28"/>
          <w:szCs w:val="28"/>
        </w:rPr>
      </w:pPr>
      <w:r>
        <w:rPr>
          <w:sz w:val="28"/>
        </w:rPr>
        <mc:AlternateContent>
          <mc:Choice Requires="wps">
            <w:drawing>
              <wp:anchor distT="0" distB="0" distL="114300" distR="114300" simplePos="0" relativeHeight="251659264" behindDoc="0" locked="0" layoutInCell="1" hidden="1" allowOverlap="1">
                <wp:simplePos x="0" y="0"/>
                <wp:positionH relativeFrom="column">
                  <wp:posOffset>-1207770</wp:posOffset>
                </wp:positionH>
                <wp:positionV relativeFrom="paragraph">
                  <wp:posOffset>-737235</wp:posOffset>
                </wp:positionV>
                <wp:extent cx="63500" cy="63500"/>
                <wp:effectExtent l="6350" t="6350" r="6350" b="6350"/>
                <wp:wrapNone/>
                <wp:docPr id="1" name="KGD_Gobal1" descr="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" style="position:absolute;left:0pt;margin-left:-95.1pt;margin-top:-58.05pt;height:5pt;width:5pt;visibility:hidden;z-index:251659264;v-text-anchor:middle;mso-width-relative:page;mso-height-relative:page;" fillcolor="#5B9BD5 [3204]" filled="t" stroked="t" coordsize="21600,21600" o:gfxdata="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F4NCGjcAAAADwEAAA8AAAAAAAAAAQAgAAAAIgAAAGRycy9kb3du&#10;cmV2LnhtbFBLAQIUABQAAAAIAIdO4kCG14TOiwUAANQIAAAOAAAAAAAAAAEAIAAAACsBAABkcnMv&#10;ZTJvRG9jLnhtbFBLBQYAAAAABgAGAFkBAAAoCQAAAAA=&#10;">
                <v:fill on="t" focussize="0,0"/>
                <v:stroke weight="1pt" color="#41719C [3204]" miterlimit="8" joinstyle="miter"/>
                <v:imagedata o:title=""/>
                <o:lock v:ext="edit" aspectratio="f"/>
              </v:rect>
            </w:pict>
          </mc:Fallback>
        </mc:AlternateContent>
      </w:r>
    </w:p>
    <w:p>
      <w:pPr>
        <w:spacing w:line="380" w:lineRule="exact"/>
        <w:rPr>
          <w:rFonts w:ascii="仿宋_GB2312" w:hAnsi="Arial" w:eastAsia="仿宋_GB2312"/>
          <w:b/>
          <w:color w:val="auto"/>
          <w:sz w:val="28"/>
          <w:szCs w:val="28"/>
        </w:rPr>
      </w:pPr>
      <w:bookmarkStart w:id="0" w:name="_Toc65828643"/>
      <w:r>
        <w:rPr>
          <w:rFonts w:hint="eastAsia" w:ascii="仿宋_GB2312" w:hAnsi="Arial" w:eastAsia="仿宋_GB2312"/>
          <w:b/>
          <w:color w:val="auto"/>
          <w:sz w:val="28"/>
          <w:szCs w:val="28"/>
        </w:rPr>
        <w:t>附件</w:t>
      </w:r>
      <w:r>
        <w:rPr>
          <w:rFonts w:hint="eastAsia" w:ascii="仿宋_GB2312" w:hAnsi="Arial" w:eastAsia="仿宋_GB2312"/>
          <w:b/>
          <w:color w:val="auto"/>
          <w:sz w:val="28"/>
          <w:szCs w:val="28"/>
          <w:lang w:eastAsia="zh-CN"/>
        </w:rPr>
        <w:t>二</w:t>
      </w:r>
      <w:r>
        <w:rPr>
          <w:rFonts w:hint="eastAsia" w:ascii="仿宋_GB2312" w:hAnsi="Arial" w:eastAsia="仿宋_GB2312"/>
          <w:b/>
          <w:color w:val="auto"/>
          <w:sz w:val="28"/>
          <w:szCs w:val="28"/>
        </w:rPr>
        <w:t>：</w:t>
      </w:r>
    </w:p>
    <w:p>
      <w:pPr>
        <w:pStyle w:val="11"/>
        <w:spacing w:line="500" w:lineRule="exac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授</w:t>
      </w:r>
      <w:r>
        <w:rPr>
          <w:rFonts w:ascii="方正小标宋简体" w:eastAsia="方正小标宋简体"/>
          <w:b/>
          <w:color w:val="auto"/>
          <w:sz w:val="44"/>
          <w:szCs w:val="44"/>
        </w:rPr>
        <w:t xml:space="preserve"> </w:t>
      </w:r>
      <w:r>
        <w:rPr>
          <w:rFonts w:hint="eastAsia" w:ascii="方正小标宋简体" w:eastAsia="方正小标宋简体"/>
          <w:b/>
          <w:color w:val="auto"/>
          <w:sz w:val="44"/>
          <w:szCs w:val="44"/>
        </w:rPr>
        <w:t>权</w:t>
      </w:r>
      <w:r>
        <w:rPr>
          <w:rFonts w:ascii="方正小标宋简体" w:eastAsia="方正小标宋简体"/>
          <w:b/>
          <w:color w:val="auto"/>
          <w:sz w:val="44"/>
          <w:szCs w:val="44"/>
        </w:rPr>
        <w:t xml:space="preserve"> </w:t>
      </w:r>
      <w:r>
        <w:rPr>
          <w:rFonts w:hint="eastAsia" w:ascii="方正小标宋简体" w:eastAsia="方正小标宋简体"/>
          <w:b/>
          <w:color w:val="auto"/>
          <w:sz w:val="44"/>
          <w:szCs w:val="44"/>
        </w:rPr>
        <w:t>委</w:t>
      </w:r>
      <w:r>
        <w:rPr>
          <w:rFonts w:ascii="方正小标宋简体" w:eastAsia="方正小标宋简体"/>
          <w:b/>
          <w:color w:val="auto"/>
          <w:sz w:val="44"/>
          <w:szCs w:val="44"/>
        </w:rPr>
        <w:t xml:space="preserve"> </w:t>
      </w:r>
      <w:r>
        <w:rPr>
          <w:rFonts w:hint="eastAsia" w:ascii="方正小标宋简体" w:eastAsia="方正小标宋简体"/>
          <w:b/>
          <w:color w:val="auto"/>
          <w:sz w:val="44"/>
          <w:szCs w:val="44"/>
        </w:rPr>
        <w:t>托</w:t>
      </w:r>
      <w:r>
        <w:rPr>
          <w:rFonts w:ascii="方正小标宋简体" w:eastAsia="方正小标宋简体"/>
          <w:b/>
          <w:color w:val="auto"/>
          <w:sz w:val="44"/>
          <w:szCs w:val="44"/>
        </w:rPr>
        <w:t xml:space="preserve"> </w:t>
      </w:r>
      <w:r>
        <w:rPr>
          <w:rFonts w:hint="eastAsia" w:ascii="方正小标宋简体" w:eastAsia="方正小标宋简体"/>
          <w:b/>
          <w:color w:val="auto"/>
          <w:sz w:val="44"/>
          <w:szCs w:val="44"/>
        </w:rPr>
        <w:t>书</w:t>
      </w:r>
    </w:p>
    <w:p>
      <w:pPr>
        <w:spacing w:after="120" w:afterLines="50" w:line="500" w:lineRule="exact"/>
        <w:rPr>
          <w:rFonts w:ascii="仿宋_GB2312" w:eastAsia="仿宋_GB2312"/>
          <w:color w:val="auto"/>
          <w:sz w:val="30"/>
          <w:szCs w:val="30"/>
        </w:rPr>
      </w:pPr>
      <w:r>
        <w:rPr>
          <w:rFonts w:hint="eastAsia" w:ascii="仿宋_GB2312" w:hAnsi="宋体" w:eastAsia="仿宋_GB2312"/>
          <w:color w:val="auto"/>
          <w:sz w:val="28"/>
          <w:lang w:val="en-US" w:eastAsia="zh-CN"/>
        </w:rPr>
        <w:t>长治首钢生物质能源有限公司</w:t>
      </w:r>
      <w:r>
        <w:rPr>
          <w:rFonts w:hint="eastAsia" w:ascii="仿宋_GB2312" w:eastAsia="仿宋_GB2312"/>
          <w:color w:val="auto"/>
          <w:sz w:val="30"/>
          <w:szCs w:val="30"/>
        </w:rPr>
        <w:t>：</w:t>
      </w:r>
      <w:r>
        <w:rPr>
          <w:rFonts w:ascii="仿宋_GB2312" w:eastAsia="仿宋_GB2312"/>
          <w:color w:val="auto"/>
          <w:sz w:val="30"/>
          <w:szCs w:val="30"/>
        </w:rPr>
        <w:t xml:space="preserve">                                                                                                            </w:t>
      </w:r>
    </w:p>
    <w:p>
      <w:pPr>
        <w:widowControl/>
        <w:spacing w:before="100" w:beforeAutospacing="1" w:after="100" w:afterAutospacing="1" w:line="380" w:lineRule="exact"/>
        <w:ind w:firstLine="570"/>
        <w:jc w:val="left"/>
        <w:rPr>
          <w:rFonts w:ascii="宋体" w:cs="宋体"/>
          <w:color w:val="auto"/>
          <w:kern w:val="0"/>
        </w:rPr>
      </w:pPr>
      <w:r>
        <w:rPr>
          <w:rFonts w:hint="eastAsia" w:ascii="仿宋_GB2312" w:hAnsi="宋体" w:eastAsia="仿宋_GB2312" w:cs="宋体"/>
          <w:i/>
          <w:iCs/>
          <w:color w:val="auto"/>
          <w:kern w:val="0"/>
          <w:u w:val="single"/>
          <w:shd w:val="clear" w:color="auto" w:fill="E5E5E5"/>
        </w:rPr>
        <w:t>（单位名称）</w:t>
      </w:r>
      <w:r>
        <w:rPr>
          <w:rFonts w:ascii="仿宋_GB2312" w:hAnsi="宋体" w:eastAsia="仿宋_GB2312" w:cs="宋体"/>
          <w:i/>
          <w:iCs/>
          <w:color w:val="auto"/>
          <w:kern w:val="0"/>
          <w:u w:val="single"/>
          <w:shd w:val="clear" w:color="auto" w:fill="E5E5E5"/>
        </w:rPr>
        <w:t xml:space="preserve">     </w:t>
      </w:r>
      <w:r>
        <w:rPr>
          <w:rFonts w:hint="eastAsia" w:ascii="仿宋_GB2312" w:hAnsi="宋体" w:eastAsia="仿宋_GB2312" w:cs="宋体"/>
          <w:color w:val="auto"/>
          <w:kern w:val="0"/>
        </w:rPr>
        <w:t>是在中华人民共和国境内合法注册的企业，法定地址</w:t>
      </w:r>
      <w:r>
        <w:rPr>
          <w:rFonts w:hint="eastAsia" w:ascii="仿宋_GB2312" w:hAnsi="宋体" w:eastAsia="仿宋_GB2312" w:cs="宋体"/>
          <w:i/>
          <w:iCs/>
          <w:color w:val="auto"/>
          <w:kern w:val="0"/>
          <w:u w:val="single"/>
          <w:shd w:val="clear" w:color="auto" w:fill="E5E5E5"/>
        </w:rPr>
        <w:t>（营业执照上注明的地址）</w:t>
      </w:r>
      <w:r>
        <w:rPr>
          <w:rFonts w:hint="eastAsia" w:ascii="仿宋_GB2312" w:hAnsi="宋体" w:eastAsia="仿宋_GB2312" w:cs="宋体"/>
          <w:color w:val="auto"/>
          <w:kern w:val="0"/>
        </w:rPr>
        <w:t>，企业法人代码</w:t>
      </w:r>
      <w:r>
        <w:rPr>
          <w:rFonts w:hint="eastAsia" w:ascii="仿宋_GB2312" w:hAnsi="宋体" w:eastAsia="仿宋_GB2312" w:cs="宋体"/>
          <w:i/>
          <w:iCs/>
          <w:color w:val="auto"/>
          <w:kern w:val="0"/>
          <w:u w:val="single"/>
          <w:shd w:val="clear" w:color="auto" w:fill="E5E5E5"/>
        </w:rPr>
        <w:t>（法人代码）</w:t>
      </w:r>
      <w:r>
        <w:rPr>
          <w:rFonts w:hint="eastAsia" w:ascii="仿宋_GB2312" w:hAnsi="宋体" w:eastAsia="仿宋_GB2312" w:cs="宋体"/>
          <w:color w:val="auto"/>
          <w:kern w:val="0"/>
        </w:rPr>
        <w:t>，主要生产地点设在</w:t>
      </w:r>
      <w:r>
        <w:rPr>
          <w:rFonts w:hint="eastAsia" w:ascii="仿宋_GB2312" w:hAnsi="宋体" w:eastAsia="仿宋_GB2312" w:cs="宋体"/>
          <w:i/>
          <w:iCs/>
          <w:color w:val="auto"/>
          <w:kern w:val="0"/>
          <w:u w:val="single"/>
          <w:shd w:val="clear" w:color="auto" w:fill="E5E5E5"/>
        </w:rPr>
        <w:t>（生产厂地址）</w:t>
      </w:r>
      <w:r>
        <w:rPr>
          <w:rFonts w:hint="eastAsia" w:ascii="仿宋_GB2312" w:hAnsi="宋体" w:eastAsia="仿宋_GB2312" w:cs="宋体"/>
          <w:color w:val="auto"/>
          <w:kern w:val="0"/>
        </w:rPr>
        <w:t>。</w:t>
      </w:r>
    </w:p>
    <w:p>
      <w:pPr>
        <w:spacing w:after="120" w:afterLines="50" w:line="380" w:lineRule="exact"/>
        <w:ind w:firstLine="630"/>
        <w:rPr>
          <w:rFonts w:ascii="仿宋_GB2312" w:eastAsia="仿宋_GB2312"/>
          <w:color w:val="auto"/>
        </w:rPr>
      </w:pPr>
      <w:r>
        <w:rPr>
          <w:rFonts w:hint="eastAsia" w:ascii="仿宋_GB2312" w:eastAsia="仿宋_GB2312"/>
          <w:color w:val="auto"/>
        </w:rPr>
        <w:t>兹委托我单位下列代理人代表我方在贵公司全权办理</w:t>
      </w:r>
      <w:r>
        <w:rPr>
          <w:rFonts w:ascii="仿宋_GB2312" w:eastAsia="仿宋_GB2312"/>
          <w:i/>
          <w:color w:val="auto"/>
          <w:u w:val="single"/>
        </w:rPr>
        <w:t xml:space="preserve"> </w:t>
      </w:r>
      <w:r>
        <w:rPr>
          <w:rFonts w:ascii="仿宋_GB2312" w:eastAsia="仿宋_GB2312"/>
          <w:i/>
          <w:color w:val="auto"/>
          <w:u w:val="single"/>
          <w:shd w:val="pct10" w:color="auto" w:fill="FFFFFF"/>
        </w:rPr>
        <w:t xml:space="preserve"> </w:t>
      </w:r>
      <w:r>
        <w:rPr>
          <w:rFonts w:hint="eastAsia" w:ascii="仿宋_GB2312" w:hAnsi="宋体" w:eastAsia="仿宋_GB2312" w:cs="宋体"/>
          <w:i/>
          <w:color w:val="auto"/>
          <w:kern w:val="0"/>
          <w:u w:val="single"/>
          <w:shd w:val="pct10" w:color="auto" w:fill="FFFFFF"/>
        </w:rPr>
        <w:t>采购项目名称、采购编号</w:t>
      </w:r>
      <w:r>
        <w:rPr>
          <w:rFonts w:hint="eastAsia" w:ascii="仿宋_GB2312" w:hAnsi="宋体" w:eastAsia="仿宋_GB2312" w:cs="宋体"/>
          <w:color w:val="auto"/>
          <w:kern w:val="0"/>
        </w:rPr>
        <w:t>的投标及合同签订事宜。具体为：</w:t>
      </w:r>
      <w:r>
        <w:rPr>
          <w:rFonts w:ascii="仿宋_GB2312" w:hAnsi="宋体" w:eastAsia="仿宋_GB2312" w:cs="宋体"/>
          <w:color w:val="auto"/>
          <w:kern w:val="0"/>
        </w:rPr>
        <w:t>1</w:t>
      </w:r>
      <w:r>
        <w:rPr>
          <w:rFonts w:hint="eastAsia" w:ascii="仿宋_GB2312" w:hAnsi="宋体" w:eastAsia="仿宋_GB2312" w:cs="宋体"/>
          <w:color w:val="auto"/>
          <w:kern w:val="0"/>
        </w:rPr>
        <w:t>、负责签署本次投标文件、提交标书；对开标内容签字确认；接受询标并对标书中有错误或有歧义或根据招标人要求需对标书进一步说明澄清的内容，有权承认、放弃、变更，并签署有关文件。</w:t>
      </w:r>
      <w:r>
        <w:rPr>
          <w:rFonts w:ascii="仿宋_GB2312" w:hAnsi="宋体" w:eastAsia="仿宋_GB2312" w:cs="宋体"/>
          <w:color w:val="auto"/>
          <w:kern w:val="0"/>
        </w:rPr>
        <w:t>2</w:t>
      </w:r>
      <w:r>
        <w:rPr>
          <w:rFonts w:hint="eastAsia" w:ascii="仿宋_GB2312" w:hAnsi="宋体" w:eastAsia="仿宋_GB2312" w:cs="宋体"/>
          <w:color w:val="auto"/>
          <w:kern w:val="0"/>
        </w:rPr>
        <w:t>、签订合同、办理结算、代为收款、处理有关合同履行过程中的一切事宜，并签署相关文件。</w:t>
      </w:r>
      <w:r>
        <w:rPr>
          <w:rFonts w:ascii="仿宋_GB2312" w:eastAsia="仿宋_GB2312"/>
          <w:color w:val="auto"/>
        </w:rPr>
        <w:t xml:space="preserve">                                                                           </w:t>
      </w:r>
    </w:p>
    <w:p>
      <w:pPr>
        <w:spacing w:after="120" w:afterLines="50" w:line="380" w:lineRule="exact"/>
        <w:rPr>
          <w:rFonts w:ascii="仿宋_GB2312" w:eastAsia="仿宋_GB2312"/>
          <w:color w:val="auto"/>
        </w:rPr>
      </w:pPr>
      <w:r>
        <w:rPr>
          <w:rFonts w:ascii="仿宋_GB2312" w:eastAsia="仿宋_GB2312"/>
          <w:color w:val="auto"/>
        </w:rPr>
        <w:t xml:space="preserve">    </w:t>
      </w:r>
      <w:r>
        <w:rPr>
          <w:rFonts w:hint="eastAsia" w:ascii="仿宋_GB2312" w:eastAsia="仿宋_GB2312"/>
          <w:color w:val="auto"/>
        </w:rPr>
        <w:t>该代理人在授权范围内依法所签的书面文件和从事的代理行为，我方均予以认可并自愿承担一切法律责任。</w:t>
      </w:r>
    </w:p>
    <w:p>
      <w:pPr>
        <w:widowControl/>
        <w:spacing w:before="100" w:beforeAutospacing="1" w:after="100" w:afterAutospacing="1" w:line="380" w:lineRule="atLeast"/>
        <w:ind w:firstLine="570"/>
        <w:jc w:val="left"/>
        <w:rPr>
          <w:rFonts w:ascii="宋体" w:cs="宋体"/>
          <w:color w:val="auto"/>
          <w:kern w:val="0"/>
        </w:rPr>
      </w:pPr>
      <w:r>
        <w:rPr>
          <w:rFonts w:hint="eastAsia" w:ascii="仿宋_GB2312" w:eastAsia="仿宋_GB2312"/>
          <w:color w:val="auto"/>
        </w:rPr>
        <w:t>授权期限：</w:t>
      </w:r>
      <w:r>
        <w:rPr>
          <w:rFonts w:hint="eastAsia" w:ascii="仿宋_GB2312" w:eastAsia="仿宋_GB2312"/>
          <w:color w:val="auto"/>
          <w:u w:val="single"/>
          <w:lang w:val="en-US" w:eastAsia="zh-CN"/>
        </w:rPr>
        <w:t xml:space="preserve">    </w:t>
      </w:r>
      <w:r>
        <w:rPr>
          <w:rFonts w:hint="eastAsia" w:ascii="仿宋_GB2312" w:eastAsia="仿宋_GB2312"/>
          <w:color w:val="auto"/>
        </w:rPr>
        <w:t>年</w:t>
      </w:r>
      <w:r>
        <w:rPr>
          <w:rFonts w:hint="eastAsia" w:ascii="仿宋_GB2312" w:eastAsia="仿宋_GB2312"/>
          <w:color w:val="auto"/>
          <w:u w:val="single"/>
          <w:lang w:val="en-US" w:eastAsia="zh-CN"/>
        </w:rPr>
        <w:t xml:space="preserve">     </w:t>
      </w:r>
      <w:r>
        <w:rPr>
          <w:rFonts w:hint="eastAsia" w:ascii="仿宋_GB2312" w:eastAsia="仿宋_GB2312"/>
          <w:color w:val="auto"/>
        </w:rPr>
        <w:t>月</w:t>
      </w:r>
      <w:r>
        <w:rPr>
          <w:rFonts w:hint="eastAsia" w:ascii="仿宋_GB2312" w:eastAsia="仿宋_GB2312"/>
          <w:color w:val="auto"/>
          <w:u w:val="single"/>
          <w:lang w:val="en-US" w:eastAsia="zh-CN"/>
        </w:rPr>
        <w:t xml:space="preserve">     </w:t>
      </w:r>
      <w:r>
        <w:rPr>
          <w:rFonts w:hint="eastAsia" w:ascii="仿宋_GB2312" w:eastAsia="仿宋_GB2312"/>
          <w:color w:val="auto"/>
        </w:rPr>
        <w:t>日至</w:t>
      </w:r>
      <w:r>
        <w:rPr>
          <w:rFonts w:hint="eastAsia" w:ascii="仿宋_GB2312" w:eastAsia="仿宋_GB2312"/>
          <w:color w:val="auto"/>
          <w:u w:val="single"/>
          <w:lang w:val="en-US" w:eastAsia="zh-CN"/>
        </w:rPr>
        <w:t xml:space="preserve">     </w:t>
      </w:r>
      <w:r>
        <w:rPr>
          <w:rFonts w:hint="eastAsia" w:ascii="仿宋_GB2312" w:eastAsia="仿宋_GB2312"/>
          <w:color w:val="auto"/>
        </w:rPr>
        <w:t>年</w:t>
      </w:r>
      <w:r>
        <w:rPr>
          <w:rFonts w:hint="eastAsia" w:ascii="仿宋_GB2312" w:eastAsia="仿宋_GB2312"/>
          <w:color w:val="auto"/>
          <w:u w:val="single"/>
          <w:lang w:val="en-US" w:eastAsia="zh-CN"/>
        </w:rPr>
        <w:t xml:space="preserve">     </w:t>
      </w:r>
      <w:r>
        <w:rPr>
          <w:rFonts w:hint="eastAsia" w:ascii="仿宋_GB2312" w:eastAsia="仿宋_GB2312"/>
          <w:color w:val="auto"/>
        </w:rPr>
        <w:t>月</w:t>
      </w:r>
      <w:r>
        <w:rPr>
          <w:rFonts w:hint="eastAsia" w:ascii="仿宋_GB2312" w:eastAsia="仿宋_GB2312"/>
          <w:color w:val="auto"/>
          <w:u w:val="single"/>
          <w:lang w:val="en-US" w:eastAsia="zh-CN"/>
        </w:rPr>
        <w:t xml:space="preserve">       </w:t>
      </w:r>
      <w:r>
        <w:rPr>
          <w:rFonts w:hint="eastAsia" w:ascii="仿宋_GB2312" w:eastAsia="仿宋_GB2312"/>
          <w:color w:val="auto"/>
        </w:rPr>
        <w:t>日</w:t>
      </w:r>
      <w:r>
        <w:rPr>
          <w:rFonts w:ascii="仿宋_GB2312" w:eastAsia="仿宋_GB2312"/>
          <w:color w:val="auto"/>
        </w:rPr>
        <w:t>.</w:t>
      </w:r>
      <w:r>
        <w:rPr>
          <w:rFonts w:hint="eastAsia" w:ascii="仿宋_GB2312" w:hAnsi="宋体" w:eastAsia="仿宋_GB2312" w:cs="宋体"/>
          <w:color w:val="auto"/>
          <w:kern w:val="0"/>
        </w:rPr>
        <w:t>代理人签署的所有文件（在本授权书有效期内签署的）不因授权的撤消而失效，特此声明。</w:t>
      </w:r>
    </w:p>
    <w:p>
      <w:pPr>
        <w:spacing w:after="120" w:afterLines="50" w:line="380" w:lineRule="exact"/>
        <w:ind w:firstLine="420" w:firstLineChars="200"/>
        <w:rPr>
          <w:rFonts w:ascii="仿宋_GB2312" w:eastAsia="仿宋_GB2312"/>
          <w:color w:val="auto"/>
        </w:rPr>
      </w:pPr>
      <w:r>
        <w:rPr>
          <w:rFonts w:hint="eastAsia" w:ascii="仿宋_GB2312" w:eastAsia="仿宋_GB2312"/>
          <w:color w:val="auto"/>
        </w:rPr>
        <w:t>代理人姓名：</w:t>
      </w:r>
      <w:r>
        <w:rPr>
          <w:rFonts w:ascii="仿宋_GB2312" w:eastAsia="仿宋_GB2312"/>
          <w:color w:val="auto"/>
        </w:rPr>
        <w:t xml:space="preserve">         </w:t>
      </w:r>
      <w:r>
        <w:rPr>
          <w:rFonts w:hint="eastAsia" w:ascii="仿宋_GB2312" w:eastAsia="仿宋_GB2312"/>
          <w:color w:val="auto"/>
        </w:rPr>
        <w:t>职务：</w:t>
      </w:r>
      <w:r>
        <w:rPr>
          <w:rFonts w:ascii="仿宋_GB2312" w:eastAsia="仿宋_GB2312"/>
          <w:color w:val="auto"/>
        </w:rPr>
        <w:t xml:space="preserve">           </w:t>
      </w:r>
      <w:r>
        <w:rPr>
          <w:rFonts w:hint="eastAsia" w:ascii="仿宋_GB2312" w:eastAsia="仿宋_GB2312"/>
          <w:color w:val="auto"/>
        </w:rPr>
        <w:t>联系方式：</w:t>
      </w:r>
    </w:p>
    <w:p>
      <w:pPr>
        <w:spacing w:after="120" w:afterLines="50" w:line="380" w:lineRule="exact"/>
        <w:rPr>
          <w:rFonts w:ascii="仿宋_GB2312" w:eastAsia="仿宋_GB2312"/>
          <w:color w:val="auto"/>
        </w:rPr>
      </w:pPr>
      <w:r>
        <w:rPr>
          <w:rFonts w:hint="eastAsia" w:ascii="仿宋_GB2312" w:eastAsia="仿宋_GB2312"/>
          <w:color w:val="auto"/>
        </w:rPr>
        <w:t>代理人身份证复印件（粘贴处）：</w:t>
      </w:r>
    </w:p>
    <w:p>
      <w:pPr>
        <w:spacing w:after="120" w:afterLines="50" w:line="380" w:lineRule="exact"/>
        <w:rPr>
          <w:rFonts w:ascii="仿宋_GB2312" w:eastAsia="仿宋_GB2312"/>
          <w:color w:val="auto"/>
        </w:rPr>
      </w:pPr>
    </w:p>
    <w:p>
      <w:pPr>
        <w:spacing w:line="380" w:lineRule="exact"/>
        <w:rPr>
          <w:rFonts w:ascii="仿宋_GB2312" w:eastAsia="仿宋_GB2312"/>
          <w:color w:val="auto"/>
        </w:rPr>
      </w:pPr>
    </w:p>
    <w:p>
      <w:pPr>
        <w:spacing w:line="380" w:lineRule="exact"/>
        <w:rPr>
          <w:rFonts w:ascii="仿宋_GB2312" w:eastAsia="仿宋_GB2312"/>
          <w:color w:val="auto"/>
        </w:rPr>
      </w:pPr>
    </w:p>
    <w:p>
      <w:pPr>
        <w:spacing w:line="380" w:lineRule="exact"/>
        <w:rPr>
          <w:rFonts w:ascii="仿宋_GB2312" w:eastAsia="仿宋_GB2312"/>
          <w:color w:val="auto"/>
        </w:rPr>
      </w:pPr>
    </w:p>
    <w:p>
      <w:pPr>
        <w:spacing w:line="380" w:lineRule="exact"/>
        <w:rPr>
          <w:rFonts w:ascii="仿宋_GB2312" w:eastAsia="仿宋_GB2312"/>
          <w:color w:val="auto"/>
        </w:rPr>
      </w:pPr>
    </w:p>
    <w:p>
      <w:pPr>
        <w:spacing w:line="380" w:lineRule="exact"/>
        <w:rPr>
          <w:rFonts w:ascii="仿宋_GB2312" w:eastAsia="仿宋_GB2312"/>
          <w:color w:val="auto"/>
        </w:rPr>
      </w:pPr>
    </w:p>
    <w:p>
      <w:pPr>
        <w:spacing w:line="380" w:lineRule="exact"/>
        <w:ind w:firstLine="2940" w:firstLineChars="1400"/>
        <w:rPr>
          <w:rFonts w:ascii="仿宋_GB2312" w:eastAsia="仿宋_GB2312"/>
          <w:color w:val="auto"/>
        </w:rPr>
      </w:pPr>
      <w:r>
        <w:rPr>
          <w:rFonts w:hint="eastAsia" w:ascii="仿宋_GB2312" w:eastAsia="仿宋_GB2312"/>
          <w:color w:val="auto"/>
        </w:rPr>
        <w:t>代理人签字：</w:t>
      </w:r>
      <w:r>
        <w:rPr>
          <w:rFonts w:ascii="仿宋_GB2312" w:eastAsia="仿宋_GB2312"/>
          <w:color w:val="auto"/>
        </w:rPr>
        <w:t xml:space="preserve">   </w:t>
      </w:r>
    </w:p>
    <w:p>
      <w:pPr>
        <w:spacing w:line="380" w:lineRule="exact"/>
        <w:rPr>
          <w:rFonts w:ascii="仿宋_GB2312" w:eastAsia="仿宋_GB2312"/>
          <w:color w:val="auto"/>
        </w:rPr>
      </w:pPr>
      <w:r>
        <w:rPr>
          <w:rFonts w:ascii="仿宋_GB2312" w:eastAsia="仿宋_GB2312"/>
          <w:color w:val="auto"/>
        </w:rPr>
        <w:t xml:space="preserve">                                                                                                                                                                             </w:t>
      </w:r>
    </w:p>
    <w:p>
      <w:pPr>
        <w:spacing w:line="380" w:lineRule="exact"/>
        <w:rPr>
          <w:rFonts w:ascii="仿宋_GB2312" w:eastAsia="仿宋_GB2312"/>
          <w:color w:val="auto"/>
        </w:rPr>
      </w:pPr>
      <w:r>
        <w:rPr>
          <w:rFonts w:ascii="仿宋_GB2312" w:eastAsia="仿宋_GB2312"/>
          <w:color w:val="auto"/>
        </w:rPr>
        <w:t xml:space="preserve">                           </w:t>
      </w:r>
      <w:r>
        <w:rPr>
          <w:rFonts w:hint="eastAsia" w:ascii="仿宋_GB2312" w:eastAsia="仿宋_GB2312"/>
          <w:color w:val="auto"/>
        </w:rPr>
        <w:t>授权人盖章（行政公章）：</w:t>
      </w:r>
    </w:p>
    <w:p>
      <w:pPr>
        <w:spacing w:line="380" w:lineRule="exact"/>
        <w:rPr>
          <w:rFonts w:ascii="仿宋_GB2312" w:eastAsia="仿宋_GB2312"/>
          <w:color w:val="auto"/>
        </w:rPr>
      </w:pPr>
      <w:r>
        <w:rPr>
          <w:rFonts w:ascii="仿宋_GB2312" w:eastAsia="仿宋_GB2312"/>
          <w:color w:val="auto"/>
        </w:rPr>
        <w:t xml:space="preserve">                           </w:t>
      </w:r>
    </w:p>
    <w:p>
      <w:pPr>
        <w:spacing w:line="380" w:lineRule="exact"/>
        <w:rPr>
          <w:rFonts w:ascii="仿宋_GB2312" w:eastAsia="仿宋_GB2312"/>
          <w:color w:val="auto"/>
        </w:rPr>
      </w:pPr>
      <w:r>
        <w:rPr>
          <w:rFonts w:ascii="仿宋_GB2312" w:eastAsia="仿宋_GB2312"/>
          <w:color w:val="auto"/>
        </w:rPr>
        <w:t xml:space="preserve">                           </w:t>
      </w:r>
      <w:r>
        <w:rPr>
          <w:rFonts w:hint="eastAsia" w:ascii="仿宋_GB2312" w:eastAsia="仿宋_GB2312"/>
          <w:color w:val="auto"/>
        </w:rPr>
        <w:t>法定代表人盖章并签字</w:t>
      </w:r>
      <w:r>
        <w:rPr>
          <w:rFonts w:ascii="仿宋_GB2312" w:eastAsia="仿宋_GB2312"/>
          <w:color w:val="auto"/>
        </w:rPr>
        <w:t xml:space="preserve">: </w:t>
      </w:r>
    </w:p>
    <w:p>
      <w:pPr>
        <w:spacing w:line="380" w:lineRule="exact"/>
        <w:rPr>
          <w:rFonts w:hint="eastAsia"/>
          <w:color w:val="auto"/>
        </w:rPr>
      </w:pPr>
    </w:p>
    <w:p>
      <w:pPr>
        <w:spacing w:line="380" w:lineRule="exact"/>
        <w:rPr>
          <w:rFonts w:hint="eastAsia"/>
          <w:color w:val="auto"/>
        </w:rPr>
      </w:pPr>
    </w:p>
    <w:p>
      <w:pPr>
        <w:spacing w:line="380" w:lineRule="exact"/>
        <w:rPr>
          <w:rFonts w:hint="eastAsia"/>
          <w:color w:val="auto"/>
        </w:rPr>
      </w:pPr>
    </w:p>
    <w:p>
      <w:pPr>
        <w:spacing w:line="380" w:lineRule="exact"/>
        <w:rPr>
          <w:rFonts w:hint="eastAsia"/>
          <w:color w:val="auto"/>
        </w:rPr>
      </w:pPr>
    </w:p>
    <w:p>
      <w:pPr>
        <w:spacing w:line="380" w:lineRule="exact"/>
        <w:rPr>
          <w:rFonts w:hint="eastAsia"/>
          <w:color w:val="auto"/>
        </w:rPr>
      </w:pPr>
    </w:p>
    <w:p>
      <w:pPr>
        <w:rPr>
          <w:rFonts w:hint="eastAsia" w:ascii="仿宋_GB2312" w:eastAsia="仿宋_GB2312"/>
          <w:color w:val="auto"/>
          <w:sz w:val="28"/>
        </w:rPr>
      </w:pPr>
    </w:p>
    <w:p>
      <w:pPr>
        <w:spacing w:line="380" w:lineRule="exact"/>
        <w:rPr>
          <w:rFonts w:ascii="仿宋_GB2312" w:hAnsi="Arial" w:eastAsia="仿宋_GB2312"/>
          <w:color w:val="auto"/>
          <w:sz w:val="28"/>
          <w:szCs w:val="28"/>
        </w:rPr>
        <w:sectPr>
          <w:headerReference r:id="rId3" w:type="default"/>
          <w:footerReference r:id="rId4" w:type="default"/>
          <w:pgSz w:w="11906" w:h="16838"/>
          <w:pgMar w:top="1134" w:right="1202" w:bottom="1134" w:left="1202" w:header="851" w:footer="697" w:gutter="0"/>
          <w:pgNumType w:fmt="numberInDash"/>
          <w:cols w:space="720" w:num="1"/>
          <w:docGrid w:linePitch="326" w:charSpace="0"/>
        </w:sectPr>
      </w:pPr>
    </w:p>
    <w:bookmarkEnd w:id="0"/>
    <w:p>
      <w:pPr>
        <w:widowControl/>
        <w:spacing w:line="480" w:lineRule="exact"/>
        <w:jc w:val="left"/>
        <w:rPr>
          <w:rFonts w:hint="eastAsia" w:ascii="仿宋_GB2312" w:hAnsi="Arial" w:eastAsia="仿宋_GB2312"/>
          <w:b/>
          <w:color w:val="auto"/>
          <w:sz w:val="28"/>
          <w:szCs w:val="28"/>
          <w:lang w:val="en-US" w:eastAsia="zh-CN"/>
        </w:rPr>
      </w:pPr>
      <w:r>
        <w:rPr>
          <w:rFonts w:hint="eastAsia" w:ascii="仿宋_GB2312" w:hAnsi="Arial" w:eastAsia="仿宋_GB2312"/>
          <w:b/>
          <w:color w:val="auto"/>
          <w:sz w:val="28"/>
          <w:szCs w:val="28"/>
        </w:rPr>
        <w:t>附件</w:t>
      </w:r>
      <w:r>
        <w:rPr>
          <w:rFonts w:hint="eastAsia" w:ascii="仿宋_GB2312" w:hAnsi="Arial" w:eastAsia="仿宋_GB2312"/>
          <w:b/>
          <w:color w:val="auto"/>
          <w:sz w:val="28"/>
          <w:szCs w:val="28"/>
          <w:lang w:eastAsia="zh-CN"/>
        </w:rPr>
        <w:t>四</w:t>
      </w:r>
      <w:r>
        <w:rPr>
          <w:rFonts w:hint="eastAsia" w:ascii="仿宋_GB2312" w:hAnsi="Arial" w:eastAsia="仿宋_GB2312"/>
          <w:b/>
          <w:color w:val="auto"/>
          <w:sz w:val="28"/>
          <w:szCs w:val="28"/>
        </w:rPr>
        <w:t>：</w:t>
      </w:r>
      <w:r>
        <w:rPr>
          <w:rFonts w:hint="eastAsia" w:ascii="仿宋_GB2312" w:hAnsi="Arial" w:eastAsia="仿宋_GB2312"/>
          <w:b/>
          <w:color w:val="auto"/>
          <w:sz w:val="28"/>
          <w:szCs w:val="28"/>
          <w:lang w:val="en-US" w:eastAsia="zh-CN"/>
        </w:rPr>
        <w:t>焚烧炉炉排系统维修具体要求</w:t>
      </w:r>
    </w:p>
    <w:p>
      <w:pPr>
        <w:numPr>
          <w:ilvl w:val="0"/>
          <w:numId w:val="0"/>
        </w:numPr>
        <w:spacing w:line="360" w:lineRule="auto"/>
        <w:ind w:left="21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）炉排块间的间隙基准</w:t>
      </w:r>
    </w:p>
    <w:p>
      <w:pPr>
        <w:numPr>
          <w:ilvl w:val="0"/>
          <w:numId w:val="0"/>
        </w:numPr>
        <w:spacing w:line="360" w:lineRule="auto"/>
        <w:ind w:firstLine="426"/>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如图</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和图</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中所示，给出每个部分之间由于热变形、热伸长和垃圾重量而引起挠曲的间隙。</w:t>
      </w:r>
    </w:p>
    <w:p>
      <w:pPr>
        <w:numPr>
          <w:ilvl w:val="0"/>
          <w:numId w:val="0"/>
        </w:numPr>
        <w:spacing w:line="360" w:lineRule="auto"/>
        <w:ind w:firstLine="426"/>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确认</w:t>
      </w:r>
      <w:r>
        <w:rPr>
          <w:rFonts w:hint="eastAsia" w:ascii="仿宋_GB2312" w:hAnsi="仿宋_GB2312" w:eastAsia="仿宋_GB2312" w:cs="仿宋_GB2312"/>
          <w:sz w:val="24"/>
          <w:szCs w:val="24"/>
          <w:lang w:val="en-US" w:eastAsia="zh-CN"/>
        </w:rPr>
        <w:t>维修后</w:t>
      </w:r>
      <w:r>
        <w:rPr>
          <w:rFonts w:hint="eastAsia" w:ascii="仿宋_GB2312" w:hAnsi="仿宋_GB2312" w:eastAsia="仿宋_GB2312" w:cs="仿宋_GB2312"/>
          <w:sz w:val="24"/>
          <w:szCs w:val="24"/>
          <w:lang w:eastAsia="zh-CN"/>
        </w:rPr>
        <w:t>维持了表</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中所示的间隙。</w:t>
      </w:r>
      <w:r>
        <w:rPr>
          <w:rFonts w:hint="eastAsia" w:ascii="仿宋_GB2312" w:hAnsi="仿宋_GB2312" w:eastAsia="仿宋_GB2312" w:cs="仿宋_GB2312"/>
          <w:sz w:val="24"/>
          <w:szCs w:val="24"/>
          <w:lang w:val="en-US" w:eastAsia="zh-CN"/>
        </w:rPr>
        <w:t>如不符合</w:t>
      </w:r>
      <w:r>
        <w:rPr>
          <w:rFonts w:hint="eastAsia" w:ascii="仿宋_GB2312" w:hAnsi="仿宋_GB2312" w:eastAsia="仿宋_GB2312" w:cs="仿宋_GB2312"/>
          <w:sz w:val="24"/>
          <w:szCs w:val="24"/>
          <w:lang w:eastAsia="zh-CN"/>
        </w:rPr>
        <w:t>进行再调整。为使能评估总的炉排条件，必须对这些间隙进行</w:t>
      </w:r>
      <w:r>
        <w:rPr>
          <w:rFonts w:hint="eastAsia" w:ascii="仿宋_GB2312" w:hAnsi="仿宋_GB2312" w:eastAsia="仿宋_GB2312" w:cs="仿宋_GB2312"/>
          <w:sz w:val="24"/>
          <w:szCs w:val="24"/>
          <w:lang w:val="en-US" w:eastAsia="zh-CN"/>
        </w:rPr>
        <w:t>满足</w:t>
      </w:r>
      <w:r>
        <w:rPr>
          <w:rFonts w:hint="eastAsia" w:ascii="仿宋_GB2312" w:hAnsi="仿宋_GB2312" w:eastAsia="仿宋_GB2312" w:cs="仿宋_GB2312"/>
          <w:sz w:val="24"/>
          <w:szCs w:val="24"/>
          <w:lang w:eastAsia="zh-CN"/>
        </w:rPr>
        <w:t>。</w:t>
      </w:r>
    </w:p>
    <w:p>
      <w:pPr>
        <w:numPr>
          <w:ilvl w:val="0"/>
          <w:numId w:val="0"/>
        </w:numPr>
        <w:ind w:left="635" w:hanging="425"/>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sz w:val="24"/>
          <w:szCs w:val="24"/>
          <w:lang w:eastAsia="zh-CN"/>
        </w:rPr>
        <w:t>表</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 xml:space="preserve"> 炉排主要部分的间距</w:t>
      </w:r>
      <w:r>
        <w:rPr>
          <w:rFonts w:hint="eastAsia" w:ascii="仿宋_GB2312" w:hAnsi="仿宋_GB2312" w:eastAsia="仿宋_GB2312" w:cs="仿宋_GB2312"/>
          <w:sz w:val="24"/>
          <w:szCs w:val="24"/>
        </w:rPr>
        <w:t>( Unit in mm )</w:t>
      </w:r>
    </w:p>
    <w:tbl>
      <w:tblPr>
        <w:tblStyle w:val="12"/>
        <w:tblpPr w:leftFromText="180" w:rightFromText="180" w:vertAnchor="text" w:horzAnchor="page" w:tblpX="1808" w:tblpY="287"/>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1080"/>
        <w:gridCol w:w="4800"/>
        <w:gridCol w:w="1440"/>
        <w:gridCol w:w="1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top"/>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符号</w:t>
            </w:r>
          </w:p>
        </w:tc>
        <w:tc>
          <w:tcPr>
            <w:tcW w:w="4800" w:type="dxa"/>
            <w:noWrap w:val="0"/>
            <w:vAlign w:val="top"/>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部件名称</w:t>
            </w:r>
          </w:p>
        </w:tc>
        <w:tc>
          <w:tcPr>
            <w:tcW w:w="1440" w:type="dxa"/>
            <w:noWrap w:val="0"/>
            <w:vAlign w:val="top"/>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间隙</w:t>
            </w:r>
          </w:p>
        </w:tc>
        <w:tc>
          <w:tcPr>
            <w:tcW w:w="1920" w:type="dxa"/>
            <w:noWrap w:val="0"/>
            <w:vAlign w:val="top"/>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允许限值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w:t>
            </w:r>
          </w:p>
        </w:tc>
        <w:tc>
          <w:tcPr>
            <w:tcW w:w="4800" w:type="dxa"/>
            <w:noWrap w:val="0"/>
            <w:vAlign w:val="top"/>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导向辊子和活动炉排梁的间距</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 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w:t>
            </w:r>
          </w:p>
        </w:tc>
        <w:tc>
          <w:tcPr>
            <w:tcW w:w="48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导向辊子和炉排支架之间的间隙</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在活动炉排梁最后部处</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w:t>
            </w:r>
          </w:p>
        </w:tc>
        <w:tc>
          <w:tcPr>
            <w:tcW w:w="4800" w:type="dxa"/>
            <w:noWrap w:val="0"/>
            <w:vAlign w:val="top"/>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前密封板和最后部活动炉排梁的间距</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w:t>
            </w:r>
          </w:p>
        </w:tc>
        <w:tc>
          <w:tcPr>
            <w:tcW w:w="4800" w:type="dxa"/>
            <w:noWrap w:val="0"/>
            <w:vAlign w:val="top"/>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活动炉排梁最前部投下炉排块与炉排支撑之间的间隙</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 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w:t>
            </w:r>
          </w:p>
        </w:tc>
        <w:tc>
          <w:tcPr>
            <w:tcW w:w="4800" w:type="dxa"/>
            <w:noWrap w:val="0"/>
            <w:vAlign w:val="top"/>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固定炉排和活动炉排梁之间导向板的间隙</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 ～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60" w:hRule="atLeast"/>
        </w:trPr>
        <w:tc>
          <w:tcPr>
            <w:tcW w:w="1080" w:type="dxa"/>
            <w:vMerge w:val="restar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w:t>
            </w:r>
          </w:p>
        </w:tc>
        <w:tc>
          <w:tcPr>
            <w:tcW w:w="4800" w:type="dxa"/>
            <w:vMerge w:val="restart"/>
            <w:noWrap w:val="0"/>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滑板和滑动支架之间的间距</w:t>
            </w:r>
          </w:p>
        </w:tc>
        <w:tc>
          <w:tcPr>
            <w:tcW w:w="1440" w:type="dxa"/>
            <w:vMerge w:val="restar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1920" w:type="dxa"/>
            <w:vMerge w:val="restar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60" w:hRule="atLeast"/>
        </w:trPr>
        <w:tc>
          <w:tcPr>
            <w:tcW w:w="1080" w:type="dxa"/>
            <w:vMerge w:val="continue"/>
            <w:noWrap w:val="0"/>
            <w:vAlign w:val="center"/>
          </w:tcPr>
          <w:p>
            <w:pPr>
              <w:jc w:val="center"/>
              <w:rPr>
                <w:rFonts w:hint="eastAsia" w:ascii="仿宋_GB2312" w:hAnsi="仿宋_GB2312" w:eastAsia="仿宋_GB2312" w:cs="仿宋_GB2312"/>
                <w:sz w:val="24"/>
                <w:szCs w:val="24"/>
              </w:rPr>
            </w:pPr>
          </w:p>
        </w:tc>
        <w:tc>
          <w:tcPr>
            <w:tcW w:w="4800" w:type="dxa"/>
            <w:vMerge w:val="continue"/>
            <w:noWrap w:val="0"/>
            <w:vAlign w:val="top"/>
          </w:tcPr>
          <w:p>
            <w:pPr>
              <w:rPr>
                <w:rFonts w:hint="eastAsia" w:ascii="仿宋_GB2312" w:hAnsi="仿宋_GB2312" w:eastAsia="仿宋_GB2312" w:cs="仿宋_GB2312"/>
                <w:sz w:val="24"/>
                <w:szCs w:val="24"/>
              </w:rPr>
            </w:pPr>
          </w:p>
        </w:tc>
        <w:tc>
          <w:tcPr>
            <w:tcW w:w="1440" w:type="dxa"/>
            <w:vMerge w:val="continue"/>
            <w:noWrap w:val="0"/>
            <w:vAlign w:val="center"/>
          </w:tcPr>
          <w:p>
            <w:pPr>
              <w:jc w:val="center"/>
              <w:rPr>
                <w:rFonts w:hint="eastAsia" w:ascii="仿宋_GB2312" w:hAnsi="仿宋_GB2312" w:eastAsia="仿宋_GB2312" w:cs="仿宋_GB2312"/>
                <w:sz w:val="24"/>
                <w:szCs w:val="24"/>
              </w:rPr>
            </w:pPr>
          </w:p>
        </w:tc>
        <w:tc>
          <w:tcPr>
            <w:tcW w:w="1920"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08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w:t>
            </w:r>
          </w:p>
        </w:tc>
        <w:tc>
          <w:tcPr>
            <w:tcW w:w="4800" w:type="dxa"/>
            <w:noWrap w:val="0"/>
            <w:vAlign w:val="top"/>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活动炉排梁和投下炉排块的间隙</w:t>
            </w:r>
          </w:p>
        </w:tc>
        <w:tc>
          <w:tcPr>
            <w:tcW w:w="14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192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25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rPr>
        <w:drawing>
          <wp:anchor distT="0" distB="0" distL="114300" distR="114300" simplePos="0" relativeHeight="251660288" behindDoc="0" locked="0" layoutInCell="1" allowOverlap="1">
            <wp:simplePos x="0" y="0"/>
            <wp:positionH relativeFrom="column">
              <wp:posOffset>1281430</wp:posOffset>
            </wp:positionH>
            <wp:positionV relativeFrom="paragraph">
              <wp:posOffset>-1214755</wp:posOffset>
            </wp:positionV>
            <wp:extent cx="3419475" cy="6061075"/>
            <wp:effectExtent l="0" t="0" r="15875" b="9525"/>
            <wp:wrapTopAndBottom/>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6"/>
                    <a:stretch>
                      <a:fillRect/>
                    </a:stretch>
                  </pic:blipFill>
                  <pic:spPr>
                    <a:xfrm rot="5400000">
                      <a:off x="0" y="0"/>
                      <a:ext cx="3419475" cy="6061075"/>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图1</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rPr>
        <w:drawing>
          <wp:anchor distT="0" distB="0" distL="114300" distR="114300" simplePos="0" relativeHeight="251661312" behindDoc="0" locked="0" layoutInCell="1" allowOverlap="1">
            <wp:simplePos x="0" y="0"/>
            <wp:positionH relativeFrom="column">
              <wp:posOffset>1316355</wp:posOffset>
            </wp:positionH>
            <wp:positionV relativeFrom="paragraph">
              <wp:posOffset>-1139190</wp:posOffset>
            </wp:positionV>
            <wp:extent cx="3540760" cy="6072505"/>
            <wp:effectExtent l="0" t="0" r="4445" b="2540"/>
            <wp:wrapTopAndBottom/>
            <wp:docPr id="61" name="图片 27" descr="img-Y1010002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descr="img-Y10100029-0001"/>
                    <pic:cNvPicPr>
                      <a:picLocks noChangeAspect="1"/>
                    </pic:cNvPicPr>
                  </pic:nvPicPr>
                  <pic:blipFill>
                    <a:blip r:embed="rId7"/>
                    <a:srcRect l="23425" t="17485" r="19386" b="6628"/>
                    <a:stretch>
                      <a:fillRect/>
                    </a:stretch>
                  </pic:blipFill>
                  <pic:spPr>
                    <a:xfrm rot="5400000">
                      <a:off x="0" y="0"/>
                      <a:ext cx="3540760" cy="6072505"/>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图2</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（2）润滑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662336" behindDoc="0" locked="0" layoutInCell="1" allowOverlap="1">
            <wp:simplePos x="0" y="0"/>
            <wp:positionH relativeFrom="column">
              <wp:posOffset>1538605</wp:posOffset>
            </wp:positionH>
            <wp:positionV relativeFrom="paragraph">
              <wp:posOffset>-1353185</wp:posOffset>
            </wp:positionV>
            <wp:extent cx="2932430" cy="5927725"/>
            <wp:effectExtent l="0" t="0" r="15875" b="1270"/>
            <wp:wrapTopAndBottom/>
            <wp:docPr id="62" name="图片 28" descr="img-Y1010452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img-Y10104524-0001"/>
                    <pic:cNvPicPr>
                      <a:picLocks noChangeAspect="1"/>
                    </pic:cNvPicPr>
                  </pic:nvPicPr>
                  <pic:blipFill>
                    <a:blip r:embed="rId8"/>
                    <a:srcRect l="5992" t="15366" r="16322" b="11143"/>
                    <a:stretch>
                      <a:fillRect/>
                    </a:stretch>
                  </pic:blipFill>
                  <pic:spPr>
                    <a:xfrm rot="5400000">
                      <a:off x="0" y="0"/>
                      <a:ext cx="2932430" cy="5927725"/>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图3</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kern w:val="2"/>
          <w:sz w:val="24"/>
          <w:szCs w:val="24"/>
          <w:u w:val="none"/>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kern w:val="2"/>
          <w:sz w:val="24"/>
          <w:szCs w:val="24"/>
          <w:u w:val="none"/>
          <w:lang w:eastAsia="zh-CN"/>
        </w:rPr>
        <w:t>炉排块和导向板的替换</w:t>
      </w:r>
    </w:p>
    <w:p>
      <w:pPr>
        <w:numPr>
          <w:ilvl w:val="0"/>
          <w:numId w:val="0"/>
        </w:numPr>
        <w:spacing w:line="360" w:lineRule="auto"/>
        <w:ind w:leftChars="0" w:firstLine="240" w:firstLineChars="1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a炉排块的替换：移除更换磨损严重或变形断裂的炉排片及其支架；</w:t>
      </w:r>
    </w:p>
    <w:p>
      <w:pPr>
        <w:numPr>
          <w:ilvl w:val="0"/>
          <w:numId w:val="0"/>
        </w:numPr>
        <w:spacing w:line="360" w:lineRule="auto"/>
        <w:ind w:leftChars="0" w:firstLine="240" w:firstLineChars="1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b挡板和挡板框架的替换：移除更换磨损严重或变形断裂的挡板及支架；</w:t>
      </w:r>
    </w:p>
    <w:p>
      <w:pPr>
        <w:numPr>
          <w:ilvl w:val="0"/>
          <w:numId w:val="0"/>
        </w:numPr>
        <w:spacing w:line="360" w:lineRule="auto"/>
        <w:ind w:leftChars="0" w:firstLine="240" w:firstLineChars="1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c边炉排块的替换：移除更换磨损严重或变形的侧面炉排块；</w:t>
      </w:r>
    </w:p>
    <w:p>
      <w:pPr>
        <w:numPr>
          <w:ilvl w:val="0"/>
          <w:numId w:val="0"/>
        </w:numPr>
        <w:spacing w:line="360" w:lineRule="auto"/>
        <w:ind w:leftChars="0" w:firstLine="240" w:firstLineChars="1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d滑动板的替换：滑板之间断裂、滑板磨损不均匀或超过1/2原始厚度</w:t>
      </w:r>
    </w:p>
    <w:p>
      <w:pPr>
        <w:numPr>
          <w:ilvl w:val="0"/>
          <w:numId w:val="0"/>
        </w:numPr>
        <w:spacing w:line="360" w:lineRule="auto"/>
        <w:ind w:leftChars="0" w:firstLine="240" w:firstLineChars="1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e导向板的替换：调整导向板间的间距通过调整片来校正最初的间隙在0.8-1.3mm之间。同时，如果导向板的厚度少于12mm，要用新的来替换。</w:t>
      </w:r>
    </w:p>
    <w:p>
      <w:pPr>
        <w:numPr>
          <w:ilvl w:val="0"/>
          <w:numId w:val="0"/>
        </w:numPr>
        <w:ind w:left="635" w:hanging="425"/>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表2炉排主要部件检查项目</w:t>
      </w:r>
    </w:p>
    <w:tbl>
      <w:tblPr>
        <w:tblStyle w:val="12"/>
        <w:tblpPr w:leftFromText="180" w:rightFromText="180" w:vertAnchor="text" w:horzAnchor="page" w:tblpX="2483" w:tblpY="461"/>
        <w:tblOverlap w:val="never"/>
        <w:tblW w:w="7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00"/>
        <w:gridCol w:w="3210"/>
        <w:gridCol w:w="2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部位</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杆密封件</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有无从密封部件的漏灰灰是否进到碳环中</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清理，更换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碳环是否老化；有无碳环的撕裂</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有无支架的裂纹</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轴承</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润滑剂的再补足</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left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安装用螺栓的松紧度</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900" w:type="dxa"/>
            <w:vMerge w:val="continue"/>
            <w:tcBorders>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轴承内有无异常声音</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炉排和炉排部件</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有无炉排块的烧坏</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有无炉排块的裂纹</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在各炉排片之间有无外来物的堵塞</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有无炉排块和/或炉排片的掉落</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必要时补充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滑板的磨损</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有无炉排梁的变形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炉排梁的磨损</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移动炉排梁与固定炉排梁之间的间隙</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在炉排片表面上有无外来物的粘附</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导向板的磨损</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驱动设备用传动杆接头上的间隙</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球面轴套表面有无裂纹</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numPr>
          <w:ilvl w:val="0"/>
          <w:numId w:val="1"/>
        </w:numPr>
        <w:spacing w:line="360" w:lineRule="auto"/>
        <w:ind w:left="210"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料斗衬板更换：变形及磨损严重的斜面衬板及立面衬板进行更换；</w:t>
      </w:r>
      <w:r>
        <w:rPr>
          <w:rFonts w:hint="eastAsia" w:ascii="仿宋_GB2312" w:hAnsi="仿宋_GB2312" w:eastAsia="仿宋_GB2312" w:cs="仿宋_GB2312"/>
          <w:sz w:val="24"/>
          <w:szCs w:val="24"/>
          <w:lang w:eastAsia="zh-CN"/>
        </w:rPr>
        <w:t>检查时测量耐磨板的厚度，耐磨板厚度从</w:t>
      </w:r>
      <w:r>
        <w:rPr>
          <w:rFonts w:hint="eastAsia" w:ascii="仿宋_GB2312" w:hAnsi="仿宋_GB2312" w:eastAsia="仿宋_GB2312" w:cs="仿宋_GB2312"/>
          <w:sz w:val="24"/>
          <w:szCs w:val="24"/>
          <w:lang w:val="en-US" w:eastAsia="zh-CN"/>
        </w:rPr>
        <w:t>原始值</w:t>
      </w:r>
      <w:r>
        <w:rPr>
          <w:rFonts w:hint="eastAsia" w:ascii="仿宋_GB2312" w:hAnsi="仿宋_GB2312" w:eastAsia="仿宋_GB2312" w:cs="仿宋_GB2312"/>
          <w:sz w:val="24"/>
          <w:szCs w:val="24"/>
          <w:lang w:eastAsia="zh-CN"/>
        </w:rPr>
        <w:t>减薄至4mm，更换新的</w:t>
      </w:r>
      <w:r>
        <w:rPr>
          <w:rFonts w:hint="eastAsia" w:ascii="仿宋_GB2312" w:hAnsi="仿宋_GB2312" w:eastAsia="仿宋_GB2312" w:cs="仿宋_GB2312"/>
          <w:sz w:val="24"/>
          <w:szCs w:val="24"/>
          <w:lang w:val="en-US" w:eastAsia="zh-CN"/>
        </w:rPr>
        <w:t>衬</w:t>
      </w:r>
      <w:r>
        <w:rPr>
          <w:rFonts w:hint="eastAsia" w:ascii="仿宋_GB2312" w:hAnsi="仿宋_GB2312" w:eastAsia="仿宋_GB2312" w:cs="仿宋_GB2312"/>
          <w:sz w:val="24"/>
          <w:szCs w:val="24"/>
          <w:lang w:eastAsia="zh-CN"/>
        </w:rPr>
        <w:t>板；垃圾溜槽和保护板厚度降至原始厚度的一半，更换新板</w:t>
      </w:r>
    </w:p>
    <w:p>
      <w:pPr>
        <w:widowControl w:val="0"/>
        <w:numPr>
          <w:ilvl w:val="0"/>
          <w:numId w:val="0"/>
        </w:numPr>
        <w:spacing w:line="360" w:lineRule="auto"/>
        <w:jc w:val="both"/>
        <w:rPr>
          <w:rFonts w:hint="eastAsia" w:ascii="仿宋_GB2312" w:hAnsi="仿宋_GB2312" w:eastAsia="仿宋_GB2312" w:cs="仿宋_GB2312"/>
          <w:sz w:val="24"/>
          <w:szCs w:val="24"/>
          <w:lang w:eastAsia="zh-CN"/>
        </w:rPr>
      </w:pPr>
    </w:p>
    <w:p>
      <w:pPr>
        <w:widowControl w:val="0"/>
        <w:numPr>
          <w:ilvl w:val="0"/>
          <w:numId w:val="0"/>
        </w:numPr>
        <w:spacing w:line="360" w:lineRule="auto"/>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8415655" cy="5408930"/>
            <wp:effectExtent l="0" t="0" r="1270" b="4445"/>
            <wp:docPr id="63" name="图片 63" descr="00dab03d1133a6fae232fb77f161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dab03d1133a6fae232fb77f161e70"/>
                    <pic:cNvPicPr>
                      <a:picLocks noChangeAspect="1"/>
                    </pic:cNvPicPr>
                  </pic:nvPicPr>
                  <pic:blipFill>
                    <a:blip r:embed="rId9"/>
                    <a:stretch>
                      <a:fillRect/>
                    </a:stretch>
                  </pic:blipFill>
                  <pic:spPr>
                    <a:xfrm rot="16200000">
                      <a:off x="0" y="0"/>
                      <a:ext cx="8415655" cy="5408930"/>
                    </a:xfrm>
                    <a:prstGeom prst="rect">
                      <a:avLst/>
                    </a:prstGeom>
                  </pic:spPr>
                </pic:pic>
              </a:graphicData>
            </a:graphic>
          </wp:inline>
        </w:drawing>
      </w:r>
    </w:p>
    <w:p>
      <w:pPr>
        <w:widowControl w:val="0"/>
        <w:numPr>
          <w:ilvl w:val="0"/>
          <w:numId w:val="0"/>
        </w:numPr>
        <w:spacing w:line="360" w:lineRule="auto"/>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图4</w:t>
      </w:r>
    </w:p>
    <w:p>
      <w:pPr>
        <w:numPr>
          <w:ilvl w:val="0"/>
          <w:numId w:val="1"/>
        </w:numPr>
        <w:spacing w:line="360" w:lineRule="auto"/>
        <w:ind w:left="210" w:leftChars="0"/>
        <w:rPr>
          <w:rFonts w:hint="eastAsia" w:ascii="仿宋_GB2312" w:hAnsi="仿宋_GB2312" w:eastAsia="仿宋_GB2312" w:cs="仿宋_GB2312"/>
          <w:sz w:val="24"/>
          <w:szCs w:val="24"/>
          <w:lang w:val="en-US" w:eastAsia="zh-CN"/>
        </w:rPr>
      </w:pPr>
      <w:bookmarkStart w:id="1" w:name="_Hlk527101701"/>
      <w:r>
        <w:rPr>
          <w:rFonts w:hint="eastAsia" w:ascii="仿宋_GB2312" w:hAnsi="仿宋_GB2312" w:eastAsia="仿宋_GB2312" w:cs="仿宋_GB2312"/>
          <w:sz w:val="24"/>
          <w:szCs w:val="24"/>
          <w:lang w:val="en-US" w:eastAsia="zh-CN"/>
        </w:rPr>
        <w:t>料斗挡板兼架桥破解装置</w:t>
      </w:r>
      <w:bookmarkEnd w:id="1"/>
      <w:r>
        <w:rPr>
          <w:rFonts w:hint="eastAsia" w:ascii="仿宋_GB2312" w:hAnsi="仿宋_GB2312" w:eastAsia="仿宋_GB2312" w:cs="仿宋_GB2312"/>
          <w:sz w:val="24"/>
          <w:szCs w:val="24"/>
          <w:lang w:val="en-US" w:eastAsia="zh-CN"/>
        </w:rPr>
        <w:t>：检查水冷套及金属软管等部件，泄漏点恢复处理；波纹管检查破损及更换，各连接销检查更换</w:t>
      </w:r>
    </w:p>
    <w:p>
      <w:pPr>
        <w:widowControl w:val="0"/>
        <w:numPr>
          <w:ilvl w:val="0"/>
          <w:numId w:val="0"/>
        </w:numPr>
        <w:spacing w:line="360" w:lineRule="auto"/>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7851140" cy="5527040"/>
            <wp:effectExtent l="0" t="0" r="16510" b="16510"/>
            <wp:docPr id="64" name="图片 64" descr="a6d646403e9cd80c0168663eb647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6d646403e9cd80c0168663eb6474f2"/>
                    <pic:cNvPicPr>
                      <a:picLocks noChangeAspect="1"/>
                    </pic:cNvPicPr>
                  </pic:nvPicPr>
                  <pic:blipFill>
                    <a:blip r:embed="rId10"/>
                    <a:stretch>
                      <a:fillRect/>
                    </a:stretch>
                  </pic:blipFill>
                  <pic:spPr>
                    <a:xfrm rot="16200000">
                      <a:off x="0" y="0"/>
                      <a:ext cx="7851140" cy="5527040"/>
                    </a:xfrm>
                    <a:prstGeom prst="rect">
                      <a:avLst/>
                    </a:prstGeom>
                  </pic:spPr>
                </pic:pic>
              </a:graphicData>
            </a:graphic>
          </wp:inline>
        </w:drawing>
      </w:r>
    </w:p>
    <w:p>
      <w:pPr>
        <w:widowControl w:val="0"/>
        <w:numPr>
          <w:ilvl w:val="0"/>
          <w:numId w:val="0"/>
        </w:numPr>
        <w:spacing w:line="360" w:lineRule="auto"/>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图5</w:t>
      </w:r>
    </w:p>
    <w:p>
      <w:pPr>
        <w:numPr>
          <w:ilvl w:val="0"/>
          <w:numId w:val="1"/>
        </w:numPr>
        <w:spacing w:line="360" w:lineRule="auto"/>
        <w:ind w:left="210"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前拱保护装置：检查磨损及断裂，必要时更换，吊挂及安装固定件检查更换</w:t>
      </w:r>
    </w:p>
    <w:p>
      <w:pPr>
        <w:widowControl w:val="0"/>
        <w:numPr>
          <w:ilvl w:val="0"/>
          <w:numId w:val="0"/>
        </w:numPr>
        <w:spacing w:line="360" w:lineRule="auto"/>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663360" behindDoc="0" locked="0" layoutInCell="1" allowOverlap="1">
            <wp:simplePos x="0" y="0"/>
            <wp:positionH relativeFrom="column">
              <wp:posOffset>-1096645</wp:posOffset>
            </wp:positionH>
            <wp:positionV relativeFrom="paragraph">
              <wp:posOffset>1183640</wp:posOffset>
            </wp:positionV>
            <wp:extent cx="7841615" cy="5532755"/>
            <wp:effectExtent l="0" t="0" r="10795" b="6985"/>
            <wp:wrapTopAndBottom/>
            <wp:docPr id="65" name="图片 65" descr="d3dc58f45a7358a227250e1a6a1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3dc58f45a7358a227250e1a6a16358"/>
                    <pic:cNvPicPr>
                      <a:picLocks noChangeAspect="1"/>
                    </pic:cNvPicPr>
                  </pic:nvPicPr>
                  <pic:blipFill>
                    <a:blip r:embed="rId11"/>
                    <a:stretch>
                      <a:fillRect/>
                    </a:stretch>
                  </pic:blipFill>
                  <pic:spPr>
                    <a:xfrm rot="16200000">
                      <a:off x="0" y="0"/>
                      <a:ext cx="7841615" cy="5532755"/>
                    </a:xfrm>
                    <a:prstGeom prst="rect">
                      <a:avLst/>
                    </a:prstGeom>
                  </pic:spPr>
                </pic:pic>
              </a:graphicData>
            </a:graphic>
          </wp:anchor>
        </w:drawing>
      </w:r>
      <w:r>
        <w:rPr>
          <w:rFonts w:hint="eastAsia" w:ascii="仿宋_GB2312" w:hAnsi="仿宋_GB2312" w:eastAsia="仿宋_GB2312" w:cs="仿宋_GB2312"/>
          <w:sz w:val="24"/>
          <w:szCs w:val="24"/>
          <w:lang w:val="en-US" w:eastAsia="zh-CN"/>
        </w:rPr>
        <w:t>图6</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numPr>
          <w:ilvl w:val="0"/>
          <w:numId w:val="1"/>
        </w:numPr>
        <w:spacing w:line="360" w:lineRule="auto"/>
        <w:ind w:left="210"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推料器：滑轨检查及更换；本体检查更换损坏部件；推台块检查更换；必要磨损件更换。</w:t>
      </w:r>
    </w:p>
    <w:p>
      <w:pPr>
        <w:widowControl w:val="0"/>
        <w:numPr>
          <w:ilvl w:val="0"/>
          <w:numId w:val="0"/>
        </w:numPr>
        <w:spacing w:line="360" w:lineRule="auto"/>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664384" behindDoc="0" locked="0" layoutInCell="1" allowOverlap="1">
            <wp:simplePos x="0" y="0"/>
            <wp:positionH relativeFrom="column">
              <wp:posOffset>57150</wp:posOffset>
            </wp:positionH>
            <wp:positionV relativeFrom="paragraph">
              <wp:posOffset>195580</wp:posOffset>
            </wp:positionV>
            <wp:extent cx="5579110" cy="3098800"/>
            <wp:effectExtent l="0" t="0" r="2540" b="6350"/>
            <wp:wrapTopAndBottom/>
            <wp:docPr id="66" name="图片 66" descr="3b9d937753559b7bdc8d69497791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b9d937753559b7bdc8d69497791a65"/>
                    <pic:cNvPicPr>
                      <a:picLocks noChangeAspect="1"/>
                    </pic:cNvPicPr>
                  </pic:nvPicPr>
                  <pic:blipFill>
                    <a:blip r:embed="rId12"/>
                    <a:stretch>
                      <a:fillRect/>
                    </a:stretch>
                  </pic:blipFill>
                  <pic:spPr>
                    <a:xfrm>
                      <a:off x="0" y="0"/>
                      <a:ext cx="5579110" cy="3098800"/>
                    </a:xfrm>
                    <a:prstGeom prst="rect">
                      <a:avLst/>
                    </a:prstGeom>
                  </pic:spPr>
                </pic:pic>
              </a:graphicData>
            </a:graphic>
          </wp:anchor>
        </w:drawing>
      </w:r>
      <w:r>
        <w:rPr>
          <w:rFonts w:hint="eastAsia" w:ascii="仿宋_GB2312" w:hAnsi="仿宋_GB2312" w:eastAsia="仿宋_GB2312" w:cs="仿宋_GB2312"/>
          <w:sz w:val="24"/>
          <w:szCs w:val="24"/>
          <w:lang w:val="en-US" w:eastAsia="zh-CN"/>
        </w:rPr>
        <w:t>图7</w:t>
      </w:r>
    </w:p>
    <w:p>
      <w:pPr>
        <w:numPr>
          <w:ilvl w:val="0"/>
          <w:numId w:val="0"/>
        </w:numPr>
        <w:ind w:left="635" w:hanging="425"/>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表3推料器主要部件检查项目</w:t>
      </w:r>
    </w:p>
    <w:tbl>
      <w:tblPr>
        <w:tblStyle w:val="12"/>
        <w:tblpPr w:leftFromText="180" w:rightFromText="180" w:vertAnchor="text" w:horzAnchor="page" w:tblpX="2438" w:tblpY="488"/>
        <w:tblOverlap w:val="never"/>
        <w:tblW w:w="79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4"/>
        <w:gridCol w:w="3512"/>
        <w:gridCol w:w="34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sz w:val="24"/>
                <w:szCs w:val="24"/>
                <w:u w:val="none"/>
                <w:lang w:val="en-US" w:eastAsia="zh-CN"/>
              </w:rPr>
              <w:t>项目</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杆密封件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杂物是否进入压盖填料是否泄漏</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必要时更换填料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有无压盖填料的老化；有无膨胀节的撕裂</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有无支架的裂纹</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推料器和壳体</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支架和/或托架内衬垫的磨损；是否泄漏</w:t>
            </w:r>
          </w:p>
        </w:tc>
        <w:tc>
          <w:tcPr>
            <w:tcW w:w="3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有无投下炉排块的烧坏、变形、缺失</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挡板用螺栓有无断裂</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滑板的磨损</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推料器和支架有无腐蚀</w:t>
            </w:r>
          </w:p>
        </w:tc>
        <w:tc>
          <w:tcPr>
            <w:tcW w:w="3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球形轴套表面是否粘附</w:t>
            </w:r>
          </w:p>
        </w:tc>
        <w:tc>
          <w:tcPr>
            <w:tcW w:w="3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视情况更换</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numPr>
          <w:ilvl w:val="0"/>
          <w:numId w:val="0"/>
        </w:num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出渣机及溜槽竖井、渣斗：出渣机内衬板检查厚度小于原始厚度1/2更换，刮刀及刮板靴检查磨损，传动机构检查磨损润滑；溜槽竖井变形腐蚀更换，水冷套检查泄漏修复；膨胀节检查更换。渣斗密封检查修复；启动挡板检查恢复，轴承更换；2#炉渣斗双层卸灰阀更换8套</w:t>
      </w:r>
    </w:p>
    <w:p>
      <w:pPr>
        <w:numPr>
          <w:ilvl w:val="0"/>
          <w:numId w:val="0"/>
        </w:num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eastAsia="zh-CN"/>
        </w:rPr>
        <w:drawing>
          <wp:anchor distT="0" distB="0" distL="114300" distR="114300" simplePos="0" relativeHeight="251666432" behindDoc="0" locked="0" layoutInCell="1" allowOverlap="1">
            <wp:simplePos x="0" y="0"/>
            <wp:positionH relativeFrom="column">
              <wp:posOffset>-142875</wp:posOffset>
            </wp:positionH>
            <wp:positionV relativeFrom="paragraph">
              <wp:posOffset>5014595</wp:posOffset>
            </wp:positionV>
            <wp:extent cx="5572125" cy="2825750"/>
            <wp:effectExtent l="0" t="0" r="9525" b="12700"/>
            <wp:wrapTopAndBottom/>
            <wp:docPr id="69" name="图片 69" descr="5bbd4e12abce603aab4404fd666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bbd4e12abce603aab4404fd6669718"/>
                    <pic:cNvPicPr>
                      <a:picLocks noChangeAspect="1"/>
                    </pic:cNvPicPr>
                  </pic:nvPicPr>
                  <pic:blipFill>
                    <a:blip r:embed="rId13"/>
                    <a:stretch>
                      <a:fillRect/>
                    </a:stretch>
                  </pic:blipFill>
                  <pic:spPr>
                    <a:xfrm>
                      <a:off x="0" y="0"/>
                      <a:ext cx="5572125" cy="2825750"/>
                    </a:xfrm>
                    <a:prstGeom prst="rect">
                      <a:avLst/>
                    </a:prstGeom>
                  </pic:spPr>
                </pic:pic>
              </a:graphicData>
            </a:graphic>
          </wp:anchor>
        </w:drawing>
      </w:r>
      <w:r>
        <w:rPr>
          <w:rFonts w:hint="eastAsia" w:ascii="仿宋_GB2312" w:hAnsi="仿宋_GB2312" w:eastAsia="仿宋_GB2312" w:cs="仿宋_GB2312"/>
          <w:sz w:val="24"/>
          <w:szCs w:val="24"/>
          <w:lang w:val="en-US" w:eastAsia="zh-CN"/>
        </w:rPr>
        <w:drawing>
          <wp:anchor distT="0" distB="0" distL="114300" distR="114300" simplePos="0" relativeHeight="251665408" behindDoc="0" locked="0" layoutInCell="1" allowOverlap="1">
            <wp:simplePos x="0" y="0"/>
            <wp:positionH relativeFrom="column">
              <wp:posOffset>-85725</wp:posOffset>
            </wp:positionH>
            <wp:positionV relativeFrom="paragraph">
              <wp:posOffset>173355</wp:posOffset>
            </wp:positionV>
            <wp:extent cx="5576570" cy="4646295"/>
            <wp:effectExtent l="0" t="0" r="5080" b="1905"/>
            <wp:wrapTopAndBottom/>
            <wp:docPr id="68" name="图片 68" descr="b25379e5003370fb04bced282681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b25379e5003370fb04bced2826817b0"/>
                    <pic:cNvPicPr>
                      <a:picLocks noChangeAspect="1"/>
                    </pic:cNvPicPr>
                  </pic:nvPicPr>
                  <pic:blipFill>
                    <a:blip r:embed="rId14"/>
                    <a:stretch>
                      <a:fillRect/>
                    </a:stretch>
                  </pic:blipFill>
                  <pic:spPr>
                    <a:xfrm>
                      <a:off x="0" y="0"/>
                      <a:ext cx="5576570" cy="4646295"/>
                    </a:xfrm>
                    <a:prstGeom prst="rect">
                      <a:avLst/>
                    </a:prstGeom>
                  </pic:spPr>
                </pic:pic>
              </a:graphicData>
            </a:graphic>
          </wp:anchor>
        </w:drawing>
      </w:r>
      <w:r>
        <w:rPr>
          <w:rFonts w:hint="eastAsia" w:ascii="仿宋_GB2312" w:hAnsi="仿宋_GB2312" w:eastAsia="仿宋_GB2312" w:cs="仿宋_GB2312"/>
          <w:sz w:val="24"/>
          <w:szCs w:val="24"/>
          <w:lang w:val="en-US" w:eastAsia="zh-CN"/>
        </w:rPr>
        <w:t>图8、9</w:t>
      </w:r>
    </w:p>
    <w:p>
      <w:pPr>
        <w:numPr>
          <w:ilvl w:val="0"/>
          <w:numId w:val="0"/>
        </w:num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图10</w:t>
      </w:r>
    </w:p>
    <w:p>
      <w:pPr>
        <w:numPr>
          <w:ilvl w:val="0"/>
          <w:numId w:val="0"/>
        </w:numPr>
        <w:ind w:left="635" w:hanging="425"/>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表4出渣机及竖井、渣斗主要部件检查项目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tbl>
      <w:tblPr>
        <w:tblStyle w:val="12"/>
        <w:tblpPr w:leftFromText="180" w:rightFromText="180" w:vertAnchor="text" w:horzAnchor="page" w:tblpX="2303" w:tblpY="-110"/>
        <w:tblOverlap w:val="never"/>
        <w:tblW w:w="73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0"/>
        <w:gridCol w:w="385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出渣机</w:t>
            </w:r>
          </w:p>
        </w:tc>
        <w:tc>
          <w:tcPr>
            <w:tcW w:w="385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项目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壳体</w:t>
            </w:r>
          </w:p>
        </w:tc>
        <w:tc>
          <w:tcPr>
            <w:tcW w:w="385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由腐蚀或磨损引起的裂缝、过分变形或破洞</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耐磨板</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耐磨板厚度</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刮板靴</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磨损</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挡板</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磨损</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无油轴瓦</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磨损</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轴台</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润滑剂补充</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连接销</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磨损</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溜槽竖井</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变形，磨损</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膨胀节</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变形，开裂</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必要时更换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渣斗</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变形，开裂，泄漏</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双层卸灰阀</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变形，磨损，开裂</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气动挡板</w:t>
            </w: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挡板缺失，磨损，变形</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挡板恢复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38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传动机构检查</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恢复</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仿宋_GB2312" w:hAnsi="仿宋_GB2312" w:eastAsia="仿宋_GB2312" w:cs="仿宋_GB2312"/>
          <w:b/>
          <w:sz w:val="24"/>
          <w:szCs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482" w:firstLineChars="200"/>
        <w:textAlignment w:val="auto"/>
        <w:outlineLvl w:val="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此次维修项目包括不限于以上内容，相关技术要求除遵循相关国家规范要求外，须遵循《长治生活市主城区生活垃圾无害化处理项目焚烧炉、余热锅炉及辅助装置设备及服务采购技术协议》及上海康恒环境股份有限公司关于长治项目的焚烧炉设备维护手册和安装手册内容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outlineLvl w:val="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附件五：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val="en-US" w:eastAsia="zh-CN"/>
        </w:rPr>
        <w:t>炉排维修备件</w:t>
      </w:r>
      <w:r>
        <w:rPr>
          <w:rFonts w:hint="eastAsia" w:ascii="仿宋_GB2312" w:hAnsi="仿宋_GB2312" w:eastAsia="仿宋_GB2312" w:cs="仿宋_GB2312"/>
          <w:b/>
          <w:sz w:val="32"/>
          <w:szCs w:val="32"/>
          <w:lang w:eastAsia="zh-CN"/>
        </w:rPr>
        <w:t>使用量明细</w:t>
      </w:r>
    </w:p>
    <w:tbl>
      <w:tblPr>
        <w:tblStyle w:val="12"/>
        <w:tblW w:w="879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1137"/>
        <w:gridCol w:w="2053"/>
        <w:gridCol w:w="1168"/>
        <w:gridCol w:w="908"/>
        <w:gridCol w:w="1034"/>
        <w:gridCol w:w="892"/>
        <w:gridCol w:w="7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设备</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名称</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使用量</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总价</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右遮板组件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中间遮板组件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左遮板组件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遮盖板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遮板用销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遮板用销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遮板平垫圈</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开口销4×35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上部及中间炉排平台</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上部及中间炉排平板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下部炉排平台</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下部炉排平板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支撑挡板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导向板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密封碳环</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可动炉排梁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固定炉排梁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可动炉排梁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可动炉排梁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固定炉排梁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固定炉排梁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上部侧面炉排</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中间侧面炉排</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中间组件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曲柄用销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曲柄用销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调整垫片</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球面轴承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轴承座组件（一）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炉排</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轴承座组件（二）</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保护附件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保护附件</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盖板（下段中间部）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盖板（下段两端部）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盖板（上段中间部）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盖板（上段两端部）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上段密封板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下段密封板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下段左侧盖板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下段右侧盖板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上端左侧盖板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上端右侧盖板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下端后方盖板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上端后方盖板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盖板（导向板部）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底板（中间部）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底板（中央部）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底板（两端部）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底板（左侧）</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底板（右侧）</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密封板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投下块（中间部）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底板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滑座（中央上游侧）</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滑座（中央下游侧）</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滑座（右侧上）</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滑座（右侧下）</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滑座（左侧上）</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滑座（左侧下）</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双头螺柱</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调整垫片</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调整垫片</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挡料板（中间段）</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推料器</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12#槽钢</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吨</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出渣机</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耐磨衬板(一）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出渣机</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耐磨衬板(三）</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渣料斗</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漏渣挡板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渣料斗</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落渣井</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渣料斗</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波纹管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渣料斗</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双层电动卸灰阀</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渣料斗</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耐磨衬板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吨</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7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报价包含税费、安装、运输、机械</w:t>
            </w:r>
            <w:r>
              <w:rPr>
                <w:rFonts w:hint="eastAsia" w:ascii="仿宋_GB2312" w:eastAsia="仿宋_GB2312"/>
                <w:color w:val="auto"/>
                <w:sz w:val="24"/>
                <w:lang w:val="en-US" w:eastAsia="zh-CN"/>
              </w:rPr>
              <w:t>等所有费用</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ascii="Times New Roman" w:hAnsi="Times New Roman" w:eastAsia="宋体"/>
          <w:b/>
          <w:sz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p>
    <w:p>
      <w:pPr>
        <w:widowControl/>
        <w:spacing w:line="480" w:lineRule="exact"/>
        <w:jc w:val="left"/>
        <w:rPr>
          <w:rFonts w:hint="eastAsia" w:ascii="仿宋_GB2312" w:hAnsi="Arial" w:eastAsia="仿宋_GB2312"/>
          <w:b/>
          <w:color w:val="auto"/>
          <w:sz w:val="28"/>
          <w:szCs w:val="28"/>
        </w:rPr>
      </w:pPr>
      <w:r>
        <w:rPr>
          <w:rFonts w:hint="eastAsia" w:ascii="仿宋_GB2312" w:hAnsi="Arial" w:eastAsia="仿宋_GB2312"/>
          <w:b/>
          <w:color w:val="auto"/>
          <w:sz w:val="28"/>
          <w:szCs w:val="28"/>
        </w:rPr>
        <w:t>附件</w:t>
      </w:r>
      <w:r>
        <w:rPr>
          <w:rFonts w:hint="eastAsia" w:ascii="仿宋_GB2312" w:hAnsi="Arial" w:eastAsia="仿宋_GB2312"/>
          <w:b/>
          <w:color w:val="auto"/>
          <w:sz w:val="28"/>
          <w:szCs w:val="28"/>
          <w:lang w:val="en-US" w:eastAsia="zh-CN"/>
        </w:rPr>
        <w:t>六</w:t>
      </w:r>
      <w:r>
        <w:rPr>
          <w:rFonts w:hint="eastAsia" w:ascii="仿宋_GB2312" w:hAnsi="Arial" w:eastAsia="仿宋_GB2312"/>
          <w:b/>
          <w:color w:val="auto"/>
          <w:sz w:val="28"/>
          <w:szCs w:val="28"/>
        </w:rPr>
        <w:t>：</w:t>
      </w:r>
    </w:p>
    <w:p>
      <w:pPr>
        <w:jc w:val="center"/>
        <w:rPr>
          <w:rFonts w:hint="eastAsia" w:ascii="方正小标宋简体" w:eastAsia="方正小标宋简体"/>
          <w:b/>
          <w:bCs/>
          <w:color w:val="auto"/>
          <w:sz w:val="44"/>
          <w:szCs w:val="44"/>
        </w:rPr>
      </w:pPr>
      <w:r>
        <w:rPr>
          <w:rFonts w:hint="eastAsia" w:ascii="方正小标宋简体" w:eastAsia="方正小标宋简体"/>
          <w:b/>
          <w:bCs/>
          <w:color w:val="auto"/>
          <w:sz w:val="44"/>
          <w:szCs w:val="44"/>
        </w:rPr>
        <w:t>诚信投标承诺书</w:t>
      </w:r>
    </w:p>
    <w:p>
      <w:pPr>
        <w:rPr>
          <w:rFonts w:hint="eastAsia" w:ascii="仿宋" w:hAnsi="仿宋" w:eastAsia="仿宋" w:cs="仿宋"/>
          <w:color w:val="auto"/>
          <w:sz w:val="30"/>
          <w:szCs w:val="30"/>
        </w:rPr>
      </w:pPr>
    </w:p>
    <w:p>
      <w:pPr>
        <w:spacing w:line="520" w:lineRule="exact"/>
        <w:rPr>
          <w:rFonts w:hint="eastAsia" w:ascii="仿宋_GB2312" w:hAnsi="仿宋" w:eastAsia="仿宋_GB2312" w:cs="仿宋"/>
          <w:color w:val="auto"/>
          <w:sz w:val="30"/>
          <w:szCs w:val="30"/>
        </w:rPr>
      </w:pPr>
      <w:r>
        <w:rPr>
          <w:rFonts w:hint="eastAsia" w:ascii="仿宋_GB2312" w:hAnsi="宋体" w:eastAsia="仿宋_GB2312"/>
          <w:color w:val="auto"/>
          <w:sz w:val="28"/>
          <w:lang w:val="en-US" w:eastAsia="zh-CN"/>
        </w:rPr>
        <w:t>长治首钢生物质能源有限公司</w:t>
      </w:r>
      <w:r>
        <w:rPr>
          <w:rFonts w:hint="eastAsia" w:ascii="仿宋_GB2312" w:hAnsi="仿宋" w:eastAsia="仿宋_GB2312" w:cs="仿宋"/>
          <w:color w:val="auto"/>
          <w:sz w:val="30"/>
          <w:szCs w:val="30"/>
        </w:rPr>
        <w:t>：</w:t>
      </w:r>
    </w:p>
    <w:p>
      <w:pPr>
        <w:spacing w:line="520" w:lineRule="exact"/>
        <w:ind w:firstLine="600" w:firstLineChars="2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非常高兴参加贵公司组织的</w:t>
      </w:r>
      <w:r>
        <w:rPr>
          <w:rFonts w:hint="eastAsia" w:ascii="仿宋_GB2312" w:hAnsi="仿宋" w:eastAsia="仿宋_GB2312" w:cs="仿宋"/>
          <w:color w:val="auto"/>
          <w:sz w:val="30"/>
          <w:szCs w:val="30"/>
          <w:lang w:val="en-US" w:eastAsia="zh-CN"/>
        </w:rPr>
        <w:t>焚烧炉炉排系统维修项目（</w:t>
      </w:r>
      <w:r>
        <w:rPr>
          <w:rFonts w:hint="eastAsia" w:ascii="仿宋_GB2312" w:hAnsi="仿宋" w:eastAsia="仿宋_GB2312" w:cs="仿宋"/>
          <w:color w:val="auto"/>
          <w:sz w:val="30"/>
          <w:szCs w:val="30"/>
        </w:rPr>
        <w:t>招标编号：</w:t>
      </w:r>
      <w:r>
        <w:rPr>
          <w:rFonts w:hint="eastAsia" w:ascii="仿宋_GB2312" w:hAnsi="仿宋" w:eastAsia="仿宋_GB2312" w:cs="仿宋"/>
          <w:color w:val="auto"/>
          <w:sz w:val="30"/>
          <w:szCs w:val="30"/>
          <w:lang w:val="en-US" w:eastAsia="zh-CN"/>
        </w:rPr>
        <w:t>2024-018</w:t>
      </w:r>
      <w:r>
        <w:rPr>
          <w:rFonts w:hint="eastAsia" w:ascii="仿宋_GB2312" w:hAnsi="仿宋" w:eastAsia="仿宋_GB2312" w:cs="仿宋"/>
          <w:color w:val="auto"/>
          <w:sz w:val="30"/>
          <w:szCs w:val="30"/>
        </w:rPr>
        <w:t>）招投标项目。</w:t>
      </w:r>
    </w:p>
    <w:p>
      <w:pPr>
        <w:spacing w:line="520" w:lineRule="exact"/>
        <w:ind w:left="1320" w:leftChars="200" w:hanging="900" w:hangingChars="300"/>
        <w:jc w:val="left"/>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我公司以下列第</w:t>
      </w:r>
      <w:r>
        <w:rPr>
          <w:rFonts w:hint="eastAsia" w:ascii="仿宋_GB2312" w:hAnsi="仿宋" w:eastAsia="仿宋_GB2312" w:cs="仿宋"/>
          <w:color w:val="auto"/>
          <w:sz w:val="30"/>
          <w:szCs w:val="30"/>
          <w:u w:val="single"/>
          <w:lang w:val="en-US" w:eastAsia="zh-CN"/>
        </w:rPr>
        <w:t>1</w:t>
      </w:r>
      <w:r>
        <w:rPr>
          <w:rFonts w:hint="eastAsia" w:ascii="仿宋_GB2312" w:hAnsi="仿宋" w:eastAsia="仿宋_GB2312" w:cs="仿宋"/>
          <w:color w:val="auto"/>
          <w:sz w:val="30"/>
          <w:szCs w:val="30"/>
        </w:rPr>
        <w:t>种方式向贵公司交纳投标保证金</w:t>
      </w:r>
      <w:r>
        <w:rPr>
          <w:rFonts w:hint="eastAsia" w:ascii="仿宋_GB2312" w:hAnsi="仿宋" w:eastAsia="仿宋_GB2312" w:cs="仿宋"/>
          <w:color w:val="auto"/>
          <w:sz w:val="30"/>
          <w:szCs w:val="30"/>
          <w:u w:val="single"/>
          <w:lang w:val="en-US" w:eastAsia="zh-CN"/>
        </w:rPr>
        <w:t>2</w:t>
      </w:r>
      <w:r>
        <w:rPr>
          <w:rFonts w:hint="eastAsia" w:ascii="仿宋_GB2312" w:hAnsi="仿宋" w:eastAsia="仿宋_GB2312" w:cs="仿宋"/>
          <w:color w:val="auto"/>
          <w:sz w:val="30"/>
          <w:szCs w:val="30"/>
          <w:u w:val="single"/>
        </w:rPr>
        <w:t>0000</w:t>
      </w:r>
      <w:r>
        <w:rPr>
          <w:rFonts w:hint="eastAsia" w:ascii="仿宋_GB2312" w:hAnsi="仿宋" w:eastAsia="仿宋_GB2312" w:cs="仿宋"/>
          <w:color w:val="auto"/>
          <w:sz w:val="30"/>
          <w:szCs w:val="30"/>
        </w:rPr>
        <w:t>元。</w:t>
      </w:r>
    </w:p>
    <w:p>
      <w:pPr>
        <w:spacing w:line="520" w:lineRule="exact"/>
        <w:ind w:firstLine="600" w:firstLineChars="2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1、投标现场交纳</w:t>
      </w:r>
      <w:r>
        <w:rPr>
          <w:rFonts w:hint="eastAsia" w:ascii="仿宋_GB2312" w:hAnsi="仿宋" w:eastAsia="仿宋_GB2312" w:cs="仿宋"/>
          <w:color w:val="auto"/>
          <w:sz w:val="30"/>
          <w:szCs w:val="30"/>
          <w:lang w:eastAsia="zh-CN"/>
        </w:rPr>
        <w:t>备查，</w:t>
      </w:r>
      <w:r>
        <w:rPr>
          <w:rFonts w:hint="eastAsia" w:ascii="仿宋_GB2312" w:hAnsi="仿宋" w:eastAsia="仿宋_GB2312" w:cs="仿宋"/>
          <w:color w:val="auto"/>
          <w:sz w:val="30"/>
          <w:szCs w:val="30"/>
          <w:lang w:val="en-US" w:eastAsia="zh-CN"/>
        </w:rPr>
        <w:t>中标后转至招标方指定账户转为履约保证金</w:t>
      </w:r>
      <w:r>
        <w:rPr>
          <w:rFonts w:hint="eastAsia" w:ascii="仿宋_GB2312" w:hAnsi="仿宋" w:eastAsia="仿宋_GB2312" w:cs="仿宋"/>
          <w:color w:val="auto"/>
          <w:sz w:val="30"/>
          <w:szCs w:val="30"/>
        </w:rPr>
        <w:t>。</w:t>
      </w:r>
    </w:p>
    <w:p>
      <w:pPr>
        <w:spacing w:line="520" w:lineRule="exact"/>
        <w:ind w:firstLine="600" w:firstLineChars="2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我公司遵循诚实信用原则，特此保证本次投标文件中的资质证照、印鉴印模、印鉴加盖、人员签字、业绩资料等所有投标资料均真实、合法、客观、有效，不存在任何伪造或不实之情形。同时保证参加本次投标的委托代理人确系我公司员工。</w:t>
      </w:r>
    </w:p>
    <w:p>
      <w:pPr>
        <w:spacing w:line="520" w:lineRule="exact"/>
        <w:ind w:firstLine="600" w:firstLineChars="2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同时我们承诺，我公司投标资料如有造假或我公司陈述如有不实，我公司自愿将已交纳的投标保证金由贵公司全额予以没收，我公司放弃就此提出任何权利主张。</w:t>
      </w:r>
    </w:p>
    <w:p>
      <w:pPr>
        <w:rPr>
          <w:rFonts w:hint="eastAsia" w:ascii="仿宋_GB2312" w:hAnsi="仿宋" w:eastAsia="仿宋_GB2312" w:cs="仿宋"/>
          <w:color w:val="auto"/>
          <w:sz w:val="30"/>
          <w:szCs w:val="30"/>
        </w:rPr>
      </w:pPr>
    </w:p>
    <w:p>
      <w:pPr>
        <w:ind w:firstLine="4200" w:firstLineChars="1400"/>
        <w:rPr>
          <w:rFonts w:hint="eastAsia" w:ascii="仿宋_GB2312" w:hAnsi="仿宋" w:eastAsia="仿宋_GB2312" w:cs="仿宋"/>
          <w:color w:val="auto"/>
          <w:sz w:val="30"/>
          <w:szCs w:val="30"/>
          <w:u w:val="single"/>
        </w:rPr>
      </w:pPr>
      <w:r>
        <w:rPr>
          <w:rFonts w:hint="eastAsia" w:ascii="仿宋_GB2312" w:hAnsi="仿宋" w:eastAsia="仿宋_GB2312" w:cs="仿宋"/>
          <w:color w:val="auto"/>
          <w:sz w:val="30"/>
          <w:szCs w:val="30"/>
        </w:rPr>
        <w:t>投标人：</w:t>
      </w:r>
      <w:r>
        <w:rPr>
          <w:rFonts w:hint="eastAsia" w:ascii="仿宋_GB2312" w:hAnsi="仿宋" w:eastAsia="仿宋_GB2312" w:cs="仿宋"/>
          <w:color w:val="auto"/>
          <w:sz w:val="30"/>
          <w:szCs w:val="30"/>
          <w:u w:val="single"/>
        </w:rPr>
        <w:t xml:space="preserve"> XXX   </w:t>
      </w:r>
    </w:p>
    <w:p>
      <w:pPr>
        <w:ind w:firstLine="7200" w:firstLineChars="2400"/>
        <w:rPr>
          <w:rFonts w:hint="eastAsia" w:ascii="仿宋_GB2312" w:hAnsi="仿宋" w:eastAsia="仿宋_GB2312" w:cs="仿宋"/>
          <w:color w:val="auto"/>
          <w:sz w:val="30"/>
          <w:szCs w:val="30"/>
        </w:rPr>
      </w:pPr>
    </w:p>
    <w:p>
      <w:pPr>
        <w:ind w:firstLine="4200" w:firstLineChars="14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法定代表人签字并盖章：</w:t>
      </w:r>
    </w:p>
    <w:p>
      <w:pPr>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 xml:space="preserve">                                                   </w:t>
      </w:r>
    </w:p>
    <w:p>
      <w:pPr>
        <w:ind w:firstLine="5700" w:firstLineChars="1900"/>
        <w:rPr>
          <w:rFonts w:hint="eastAsia" w:ascii="仿宋_GB2312" w:hAnsi="仿宋" w:eastAsia="仿宋_GB2312" w:cs="仿宋"/>
          <w:color w:val="auto"/>
          <w:sz w:val="30"/>
          <w:szCs w:val="30"/>
        </w:rPr>
      </w:pPr>
      <w:r>
        <w:rPr>
          <w:rFonts w:hint="eastAsia" w:ascii="仿宋_GB2312" w:hAnsi="仿宋" w:eastAsia="仿宋_GB2312" w:cs="仿宋"/>
          <w:color w:val="auto"/>
          <w:sz w:val="30"/>
          <w:szCs w:val="30"/>
        </w:rPr>
        <w:t>年    月    日</w:t>
      </w:r>
    </w:p>
    <w:p>
      <w:pPr>
        <w:rPr>
          <w:rFonts w:hint="eastAsia" w:ascii="仿宋_GB2312" w:hAnsi="仿宋" w:eastAsia="仿宋_GB2312" w:cs="仿宋"/>
          <w:color w:val="auto"/>
          <w:sz w:val="30"/>
          <w:szCs w:val="30"/>
        </w:rPr>
      </w:pPr>
    </w:p>
    <w:p>
      <w:pPr>
        <w:rPr>
          <w:rFonts w:hint="eastAsia" w:ascii="仿宋_GB2312" w:hAnsi="仿宋" w:eastAsia="仿宋_GB2312" w:cs="仿宋"/>
          <w:color w:val="auto"/>
          <w:sz w:val="30"/>
          <w:szCs w:val="30"/>
        </w:rPr>
      </w:pPr>
    </w:p>
    <w:p>
      <w:pPr>
        <w:rPr>
          <w:rFonts w:hint="eastAsia" w:ascii="仿宋_GB2312" w:hAnsi="仿宋" w:eastAsia="仿宋_GB2312" w:cs="仿宋"/>
          <w:color w:val="auto"/>
          <w:sz w:val="30"/>
          <w:szCs w:val="30"/>
        </w:rPr>
      </w:pPr>
    </w:p>
    <w:p>
      <w:pPr>
        <w:rPr>
          <w:rFonts w:hint="eastAsia" w:ascii="仿宋_GB2312" w:hAnsi="仿宋" w:eastAsia="仿宋_GB2312" w:cs="仿宋"/>
          <w:color w:val="auto"/>
          <w:sz w:val="30"/>
          <w:szCs w:val="30"/>
        </w:rPr>
      </w:pPr>
    </w:p>
    <w:p>
      <w:pPr>
        <w:rPr>
          <w:rFonts w:hint="eastAsia" w:ascii="仿宋_GB2312" w:hAnsi="仿宋" w:eastAsia="仿宋_GB2312" w:cs="仿宋"/>
          <w:color w:val="auto"/>
          <w:sz w:val="30"/>
          <w:szCs w:val="30"/>
        </w:rPr>
      </w:pPr>
    </w:p>
    <w:p>
      <w:pPr>
        <w:rPr>
          <w:rFonts w:hint="eastAsia" w:ascii="仿宋_GB2312" w:hAnsi="仿宋" w:eastAsia="仿宋_GB2312" w:cs="仿宋"/>
          <w:color w:val="auto"/>
          <w:sz w:val="30"/>
          <w:szCs w:val="30"/>
          <w:lang w:val="en-US" w:eastAsia="zh-CN"/>
        </w:rPr>
      </w:pPr>
    </w:p>
    <w:p>
      <w:pPr>
        <w:jc w:val="left"/>
        <w:rPr>
          <w:rFonts w:hint="eastAsia" w:ascii="仿宋_GB2312" w:hAnsi="宋体" w:eastAsia="仿宋_GB2312" w:cs="仿宋"/>
          <w:b/>
          <w:bCs/>
          <w:color w:val="auto"/>
          <w:sz w:val="28"/>
          <w:szCs w:val="28"/>
        </w:rPr>
      </w:pPr>
    </w:p>
    <w:p>
      <w:pPr>
        <w:jc w:val="left"/>
        <w:rPr>
          <w:rFonts w:hint="eastAsia" w:ascii="仿宋_GB2312" w:hAnsi="宋体" w:eastAsia="仿宋_GB2312" w:cs="仿宋"/>
          <w:b/>
          <w:bCs/>
          <w:color w:val="auto"/>
          <w:sz w:val="28"/>
          <w:szCs w:val="28"/>
        </w:rPr>
      </w:pPr>
    </w:p>
    <w:tbl>
      <w:tblPr>
        <w:tblStyle w:val="12"/>
        <w:tblW w:w="91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4"/>
        <w:gridCol w:w="1439"/>
        <w:gridCol w:w="810"/>
        <w:gridCol w:w="1404"/>
        <w:gridCol w:w="1869"/>
        <w:gridCol w:w="1215"/>
        <w:gridCol w:w="1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165" w:type="dxa"/>
            <w:gridSpan w:val="7"/>
            <w:tcBorders>
              <w:top w:val="nil"/>
              <w:left w:val="nil"/>
              <w:bottom w:val="single" w:color="000000" w:sz="4" w:space="0"/>
              <w:right w:val="nil"/>
            </w:tcBorders>
            <w:shd w:val="clear" w:color="auto" w:fill="auto"/>
            <w:vAlign w:val="center"/>
          </w:tcPr>
          <w:p>
            <w:pPr>
              <w:jc w:val="left"/>
              <w:rPr>
                <w:rFonts w:hint="eastAsia" w:ascii="仿宋_GB2312" w:hAnsi="宋体" w:eastAsia="仿宋_GB2312" w:cs="仿宋"/>
                <w:b/>
                <w:bCs/>
                <w:color w:val="auto"/>
                <w:sz w:val="28"/>
                <w:szCs w:val="28"/>
                <w:lang w:val="en-US" w:eastAsia="zh-CN"/>
              </w:rPr>
            </w:pPr>
            <w:r>
              <w:rPr>
                <w:rFonts w:hint="eastAsia" w:ascii="仿宋_GB2312" w:hAnsi="宋体" w:eastAsia="仿宋_GB2312" w:cs="仿宋"/>
                <w:b/>
                <w:bCs/>
                <w:color w:val="auto"/>
                <w:sz w:val="28"/>
                <w:szCs w:val="28"/>
                <w:lang w:val="en-US" w:eastAsia="zh-CN"/>
              </w:rPr>
              <w:t>附件八：</w:t>
            </w:r>
          </w:p>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投标人信息一览表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122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公司名称</w:t>
            </w:r>
          </w:p>
        </w:tc>
        <w:tc>
          <w:tcPr>
            <w:tcW w:w="3653" w:type="dxa"/>
            <w:gridSpan w:val="3"/>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86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住所地</w:t>
            </w:r>
          </w:p>
        </w:tc>
        <w:tc>
          <w:tcPr>
            <w:tcW w:w="2419"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投标编号</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投标 名称</w:t>
            </w:r>
          </w:p>
        </w:tc>
        <w:tc>
          <w:tcPr>
            <w:tcW w:w="5692" w:type="dxa"/>
            <w:gridSpan w:val="4"/>
            <w:tcBorders>
              <w:top w:val="single" w:color="000000" w:sz="4" w:space="0"/>
              <w:left w:val="nil"/>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纳税人资格</w:t>
            </w:r>
          </w:p>
        </w:tc>
        <w:tc>
          <w:tcPr>
            <w:tcW w:w="36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投标标段</w:t>
            </w:r>
          </w:p>
        </w:tc>
        <w:tc>
          <w:tcPr>
            <w:tcW w:w="2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法定代表人（负责人）</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身份证号</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委托代理人</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身份证号</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仿宋" w:hAnsi="仿宋" w:eastAsia="仿宋" w:cs="仿宋"/>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联系电话</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注册资本（万元）</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实缴资本 （万元）</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企业联系电话</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trPr>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股东组成</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持股比例</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持股比例</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持股比例</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122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董事</w:t>
            </w:r>
          </w:p>
        </w:tc>
        <w:tc>
          <w:tcPr>
            <w:tcW w:w="2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监事</w:t>
            </w:r>
          </w:p>
        </w:tc>
        <w:tc>
          <w:tcPr>
            <w:tcW w:w="4288" w:type="dxa"/>
            <w:gridSpan w:val="3"/>
            <w:tcBorders>
              <w:top w:val="single" w:color="000000" w:sz="4" w:space="0"/>
              <w:left w:val="nil"/>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资质证照</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等级、注册编号、有效期限及发证部门</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等级、注册编号、有效期限及发证部门</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等级、注册编号、有效期限及发证部门</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项目经理</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身份证号及注册专业</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安全员</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身份证号及注册专业</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工程师</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身份证号及注册专业</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trPr>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认证证书</w:t>
            </w: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相关认证范围、有效期限及认证单位</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相关认证范围、有效期限及认证单位</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2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相关认证范围、有效期限及认证单位</w:t>
            </w:r>
          </w:p>
        </w:tc>
        <w:tc>
          <w:tcPr>
            <w:tcW w:w="4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16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00" w:firstLineChars="200"/>
              <w:jc w:val="left"/>
              <w:textAlignment w:val="center"/>
              <w:rPr>
                <w:rFonts w:hint="default" w:ascii="仿宋" w:hAnsi="仿宋" w:eastAsia="仿宋" w:cs="仿宋"/>
                <w:i w:val="0"/>
                <w:iCs w:val="0"/>
                <w:color w:val="000000"/>
                <w:sz w:val="20"/>
                <w:szCs w:val="20"/>
                <w:u w:val="none"/>
              </w:rPr>
            </w:pPr>
            <w:r>
              <w:rPr>
                <w:rFonts w:hint="default" w:ascii="仿宋" w:hAnsi="仿宋" w:eastAsia="仿宋" w:cs="仿宋"/>
                <w:i w:val="0"/>
                <w:iCs w:val="0"/>
                <w:color w:val="000000"/>
                <w:kern w:val="0"/>
                <w:sz w:val="20"/>
                <w:szCs w:val="20"/>
                <w:u w:val="none"/>
                <w:lang w:val="en-US" w:eastAsia="zh-CN" w:bidi="ar"/>
              </w:rPr>
              <w:t>我公司承诺，所填各项信息均客观、真实、有效，如有不实，我公司自愿放弃本次投标机会自愿将已交纳的或承诺以相应帐存款相抵的投标保证金由招标人全额予以扣除，并知悉长钢公司有权将我公司及其相关人员列入长钢公司失信企业黑名单，同时放弃就此提出任何权利主张。</w:t>
            </w:r>
          </w:p>
        </w:tc>
      </w:tr>
    </w:tbl>
    <w:p>
      <w:pPr>
        <w:widowControl/>
        <w:spacing w:line="560" w:lineRule="exact"/>
        <w:ind w:firstLine="5296" w:firstLineChars="1655"/>
        <w:jc w:val="left"/>
        <w:rPr>
          <w:rFonts w:hint="eastAsia" w:ascii="仿宋_GB2312" w:eastAsia="仿宋_GB2312"/>
          <w:color w:val="auto"/>
          <w:sz w:val="32"/>
        </w:rPr>
        <w:sectPr>
          <w:pgSz w:w="11907" w:h="16840"/>
          <w:pgMar w:top="1361" w:right="1418" w:bottom="1361" w:left="1418" w:header="851" w:footer="964" w:gutter="284"/>
          <w:pgNumType w:fmt="numberInDash"/>
          <w:cols w:space="720" w:num="1"/>
          <w:titlePg/>
          <w:docGrid w:linePitch="271" w:charSpace="0"/>
        </w:sectPr>
      </w:pPr>
      <w:bookmarkStart w:id="3" w:name="_GoBack"/>
      <w:bookmarkEnd w:id="3"/>
    </w:p>
    <w:p>
      <w:pPr>
        <w:pStyle w:val="15"/>
        <w:rPr>
          <w:rFonts w:hint="eastAsia" w:ascii="仿宋_GB2312" w:eastAsia="仿宋_GB2312"/>
          <w:color w:val="auto"/>
          <w:sz w:val="32"/>
          <w:lang w:val="en-US" w:eastAsia="zh-CN"/>
        </w:rPr>
      </w:pPr>
      <w:bookmarkStart w:id="2" w:name="End"/>
      <w:bookmarkEnd w:id="2"/>
    </w:p>
    <w:sectPr>
      <w:pgSz w:w="16840" w:h="11907" w:orient="landscape"/>
      <w:pgMar w:top="1418" w:right="1361" w:bottom="1418" w:left="1361" w:header="851" w:footer="964" w:gutter="284"/>
      <w:pgNumType w:fmt="numberInDash"/>
      <w:cols w:space="720" w:num="1"/>
      <w:titlePg/>
      <w:docGrid w:linePitch="27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260" w:hanging="4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4F3E46"/>
    <w:multiLevelType w:val="singleLevel"/>
    <w:tmpl w:val="494F3E46"/>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ZmFjOGY3MzY4Y2U5NTY3OTcxMTFmNDA0N2ZjODYifQ=="/>
    <w:docVar w:name="DocumentID" w:val="{19225048-B9A3-4DEC-9583-AB0EBBF4B69C}"/>
    <w:docVar w:name="DocumentName" w:val="30312.007845115844"/>
  </w:docVars>
  <w:rsids>
    <w:rsidRoot w:val="68303598"/>
    <w:rsid w:val="01800041"/>
    <w:rsid w:val="03405D70"/>
    <w:rsid w:val="04092529"/>
    <w:rsid w:val="04D57360"/>
    <w:rsid w:val="0639213D"/>
    <w:rsid w:val="081F7F55"/>
    <w:rsid w:val="09375706"/>
    <w:rsid w:val="0A8821D6"/>
    <w:rsid w:val="0B777256"/>
    <w:rsid w:val="0C6368FF"/>
    <w:rsid w:val="107F33E2"/>
    <w:rsid w:val="10C1008B"/>
    <w:rsid w:val="12CD3DBB"/>
    <w:rsid w:val="13934D27"/>
    <w:rsid w:val="148D0DA3"/>
    <w:rsid w:val="16954A6C"/>
    <w:rsid w:val="17B90DF1"/>
    <w:rsid w:val="18E570E8"/>
    <w:rsid w:val="1A6803B6"/>
    <w:rsid w:val="1C4F2D03"/>
    <w:rsid w:val="1EE10380"/>
    <w:rsid w:val="217B04DD"/>
    <w:rsid w:val="21DF10AD"/>
    <w:rsid w:val="23A30240"/>
    <w:rsid w:val="2AEA6823"/>
    <w:rsid w:val="2B236C4F"/>
    <w:rsid w:val="2CB7386A"/>
    <w:rsid w:val="2D0839C4"/>
    <w:rsid w:val="2E2A4680"/>
    <w:rsid w:val="338A7F0A"/>
    <w:rsid w:val="34780C53"/>
    <w:rsid w:val="3A2B02EC"/>
    <w:rsid w:val="3D361A26"/>
    <w:rsid w:val="3F6F5ED1"/>
    <w:rsid w:val="3F983A86"/>
    <w:rsid w:val="400B247B"/>
    <w:rsid w:val="424A7AE7"/>
    <w:rsid w:val="43D916B8"/>
    <w:rsid w:val="44932BEF"/>
    <w:rsid w:val="453D45F2"/>
    <w:rsid w:val="4566763F"/>
    <w:rsid w:val="46B457D0"/>
    <w:rsid w:val="47261C3D"/>
    <w:rsid w:val="48752D96"/>
    <w:rsid w:val="4AA94BEF"/>
    <w:rsid w:val="4C112FF3"/>
    <w:rsid w:val="4C852A0A"/>
    <w:rsid w:val="4DB538B9"/>
    <w:rsid w:val="4DD94EEC"/>
    <w:rsid w:val="4E1253E1"/>
    <w:rsid w:val="4F3F0234"/>
    <w:rsid w:val="4FBF6451"/>
    <w:rsid w:val="50F1344C"/>
    <w:rsid w:val="52171610"/>
    <w:rsid w:val="54BC3F27"/>
    <w:rsid w:val="54E62189"/>
    <w:rsid w:val="575E3F95"/>
    <w:rsid w:val="58222830"/>
    <w:rsid w:val="58D13B7F"/>
    <w:rsid w:val="59D32AE1"/>
    <w:rsid w:val="5A080BA8"/>
    <w:rsid w:val="5A461CAE"/>
    <w:rsid w:val="5C0E3941"/>
    <w:rsid w:val="5C6825AA"/>
    <w:rsid w:val="5E0A3B9C"/>
    <w:rsid w:val="5F6302C6"/>
    <w:rsid w:val="5FC353A5"/>
    <w:rsid w:val="604F449B"/>
    <w:rsid w:val="60AB7E86"/>
    <w:rsid w:val="63D66318"/>
    <w:rsid w:val="6587755B"/>
    <w:rsid w:val="65D60782"/>
    <w:rsid w:val="667E2026"/>
    <w:rsid w:val="67755B92"/>
    <w:rsid w:val="67B0620F"/>
    <w:rsid w:val="68303598"/>
    <w:rsid w:val="694D4756"/>
    <w:rsid w:val="6A9F07BD"/>
    <w:rsid w:val="6ACD1926"/>
    <w:rsid w:val="6B7D2A29"/>
    <w:rsid w:val="6CEF242D"/>
    <w:rsid w:val="7129774D"/>
    <w:rsid w:val="72201FFF"/>
    <w:rsid w:val="74E25B87"/>
    <w:rsid w:val="75945B50"/>
    <w:rsid w:val="770C66B0"/>
    <w:rsid w:val="783771FF"/>
    <w:rsid w:val="7DCE2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360" w:lineRule="auto"/>
      <w:jc w:val="center"/>
      <w:outlineLvl w:val="0"/>
    </w:pPr>
    <w:rPr>
      <w:rFonts w:hAnsi="宋体" w:eastAsia="黑体"/>
      <w:kern w:val="0"/>
      <w:sz w:val="36"/>
      <w:szCs w:val="20"/>
    </w:rPr>
  </w:style>
  <w:style w:type="paragraph" w:styleId="3">
    <w:name w:val="heading 2"/>
    <w:basedOn w:val="1"/>
    <w:next w:val="1"/>
    <w:autoRedefine/>
    <w:qFormat/>
    <w:uiPriority w:val="0"/>
    <w:pPr>
      <w:keepNext/>
      <w:keepLines/>
      <w:spacing w:before="260" w:after="260" w:line="360" w:lineRule="auto"/>
      <w:jc w:val="center"/>
      <w:outlineLvl w:val="1"/>
    </w:pPr>
    <w:rPr>
      <w:rFonts w:ascii="Arial" w:hAnsi="Arial" w:eastAsia="黑体"/>
      <w:kern w:val="0"/>
      <w:sz w:val="30"/>
      <w:szCs w:val="20"/>
    </w:rPr>
  </w:style>
  <w:style w:type="paragraph" w:styleId="4">
    <w:name w:val="heading 3"/>
    <w:basedOn w:val="1"/>
    <w:next w:val="1"/>
    <w:autoRedefine/>
    <w:qFormat/>
    <w:uiPriority w:val="0"/>
    <w:pPr>
      <w:keepNext/>
      <w:keepLines/>
      <w:spacing w:before="260" w:after="260" w:line="416" w:lineRule="auto"/>
      <w:jc w:val="center"/>
      <w:outlineLvl w:val="2"/>
    </w:pPr>
    <w:rPr>
      <w:rFonts w:eastAsia="黑体"/>
      <w:b/>
      <w:bCs/>
      <w:sz w:val="28"/>
      <w:szCs w:val="32"/>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Body Text"/>
    <w:basedOn w:val="1"/>
    <w:next w:val="1"/>
    <w:autoRedefine/>
    <w:qFormat/>
    <w:uiPriority w:val="0"/>
    <w:pPr>
      <w:spacing w:line="0" w:lineRule="atLeast"/>
    </w:pPr>
    <w:rPr>
      <w:sz w:val="30"/>
      <w:szCs w:val="20"/>
    </w:rPr>
  </w:style>
  <w:style w:type="paragraph" w:styleId="7">
    <w:name w:val="Plain Text"/>
    <w:basedOn w:val="1"/>
    <w:autoRedefine/>
    <w:qFormat/>
    <w:uiPriority w:val="0"/>
    <w:rPr>
      <w:rFonts w:ascii="宋体" w:hAnsi="Courier New"/>
      <w:szCs w:val="20"/>
    </w:rPr>
  </w:style>
  <w:style w:type="paragraph" w:styleId="8">
    <w:name w:val="Date"/>
    <w:basedOn w:val="1"/>
    <w:next w:val="1"/>
    <w:autoRedefine/>
    <w:qFormat/>
    <w:uiPriority w:val="0"/>
    <w:rPr>
      <w:sz w:val="24"/>
      <w:szCs w:val="24"/>
    </w:rPr>
  </w:style>
  <w:style w:type="paragraph" w:styleId="9">
    <w:name w:val="footer"/>
    <w:basedOn w:val="1"/>
    <w:autoRedefine/>
    <w:qFormat/>
    <w:uiPriority w:val="0"/>
    <w:pPr>
      <w:widowControl/>
      <w:tabs>
        <w:tab w:val="center" w:pos="4153"/>
        <w:tab w:val="right" w:pos="8306"/>
      </w:tabs>
      <w:snapToGrid w:val="0"/>
      <w:jc w:val="left"/>
    </w:pPr>
    <w:rPr>
      <w:kern w:val="0"/>
      <w:sz w:val="18"/>
      <w:szCs w:val="20"/>
    </w:rPr>
  </w:style>
  <w:style w:type="paragraph" w:styleId="10">
    <w:name w:val="header"/>
    <w:basedOn w:val="1"/>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11">
    <w:name w:val="footnote text"/>
    <w:basedOn w:val="1"/>
    <w:autoRedefine/>
    <w:qFormat/>
    <w:uiPriority w:val="0"/>
    <w:pPr>
      <w:snapToGrid w:val="0"/>
      <w:jc w:val="left"/>
    </w:pPr>
    <w:rPr>
      <w:sz w:val="18"/>
      <w:szCs w:val="18"/>
    </w:rPr>
  </w:style>
  <w:style w:type="character" w:styleId="14">
    <w:name w:val="page number"/>
    <w:basedOn w:val="13"/>
    <w:autoRedefine/>
    <w:qFormat/>
    <w:uiPriority w:val="0"/>
  </w:style>
  <w:style w:type="paragraph" w:customStyle="1" w:styleId="15">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16">
    <w:name w:val="NormalCharacter"/>
    <w:autoRedefine/>
    <w:semiHidden/>
    <w:qFormat/>
    <w:uiPriority w:val="0"/>
  </w:style>
  <w:style w:type="paragraph" w:customStyle="1" w:styleId="17">
    <w:name w:val="cucd-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8">
    <w:name w:val="HtmlPre"/>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宋体" w:hAnsi="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8324</Words>
  <Characters>8751</Characters>
  <Lines>0</Lines>
  <Paragraphs>0</Paragraphs>
  <TotalTime>5</TotalTime>
  <ScaleCrop>false</ScaleCrop>
  <LinksUpToDate>false</LinksUpToDate>
  <CharactersWithSpaces>9975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2021-08-18T09:16:00Z</dcterms:created>
  <dc:creator>JUGG</dc:creator>
  <cp:lastModifiedBy>付霞</cp:lastModifiedBy>
  <cp:lastPrinted>2024-03-18T23:51:00Z</cp:lastPrinted>
  <dcterms:modified xsi:type="dcterms:W3CDTF">2024-03-19T08:27:54Z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BF95D36068654428B59A2FA0E980CBD9_13</vt:lpwstr>
  </property>
</Properties>
</file>