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Arial" w:eastAsia="仿宋_GB2312"/>
          <w:b/>
          <w:color w:val="auto"/>
          <w:sz w:val="28"/>
          <w:szCs w:val="28"/>
        </w:rPr>
      </w:pPr>
      <w:bookmarkStart w:id="0" w:name="_Toc65828643"/>
    </w:p>
    <w:p>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1"/>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pPr>
        <w:widowControl/>
        <w:spacing w:line="480" w:lineRule="exact"/>
        <w:jc w:val="left"/>
        <w:rPr>
          <w:rFonts w:hint="default" w:ascii="仿宋_GB2312" w:hAnsi="Arial" w:eastAsia="仿宋_GB2312"/>
          <w:b/>
          <w:color w:val="auto"/>
          <w:sz w:val="28"/>
          <w:szCs w:val="28"/>
          <w:lang w:val="en-US" w:eastAsia="zh-CN"/>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r>
        <w:rPr>
          <w:rFonts w:hint="eastAsia" w:ascii="仿宋_GB2312" w:hAnsi="Arial" w:eastAsia="仿宋_GB2312"/>
          <w:b/>
          <w:color w:val="auto"/>
          <w:sz w:val="28"/>
          <w:szCs w:val="28"/>
          <w:lang w:eastAsia="zh-CN"/>
        </w:rPr>
        <w:t>炉渣处置范围</w:t>
      </w:r>
      <w:r>
        <w:rPr>
          <w:rFonts w:hint="eastAsia" w:ascii="仿宋_GB2312" w:hAnsi="Arial" w:eastAsia="仿宋_GB2312"/>
          <w:b/>
          <w:color w:val="auto"/>
          <w:sz w:val="28"/>
          <w:szCs w:val="28"/>
          <w:lang w:val="en-US" w:eastAsia="zh-CN"/>
        </w:rPr>
        <w:t>要求及环境管理要求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outlineLvl w:val="0"/>
        <w:rPr>
          <w:rFonts w:hint="default" w:ascii="仿宋_GB2312" w:eastAsia="仿宋_GB2312"/>
          <w:sz w:val="32"/>
          <w:szCs w:val="32"/>
          <w:lang w:val="en-US" w:eastAsia="zh-CN"/>
        </w:rPr>
      </w:pPr>
      <w:r>
        <w:rPr>
          <w:rFonts w:hint="eastAsia" w:ascii="仿宋_GB2312" w:eastAsia="仿宋_GB2312"/>
          <w:sz w:val="32"/>
          <w:szCs w:val="32"/>
          <w:lang w:val="en-US" w:eastAsia="zh-CN"/>
        </w:rPr>
        <w:t>渣吊间：负责渣吊间出渣口炉渣的倒料抓料，炉渣腾倒，炉渣装车，倒运，吊车设备操作，吊车设备及附属设备日常巡检维护，渣吊间操作室及周边环境卫生清扫维护，渣吊岗位工与生产协调沟通，渣池存料在规定范围内，确保焚烧发电生产稳定。配合焚烧发电生产组织清渣、检修、维护等工作，装车时与运输车辆做好配合，控好水分，不遗撒。同时保持渣池内的最大库存量，每月至少清底一次，日常保证可放置3天以上的库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outlineLvl w:val="0"/>
        <w:rPr>
          <w:rFonts w:hint="default" w:ascii="仿宋_GB2312" w:eastAsia="仿宋_GB2312"/>
          <w:sz w:val="32"/>
          <w:szCs w:val="32"/>
          <w:lang w:val="en-US" w:eastAsia="zh-CN"/>
        </w:rPr>
      </w:pPr>
      <w:r>
        <w:rPr>
          <w:rFonts w:hint="eastAsia" w:ascii="仿宋_GB2312" w:eastAsia="仿宋_GB2312"/>
          <w:sz w:val="32"/>
          <w:szCs w:val="32"/>
          <w:lang w:val="en-US" w:eastAsia="zh-CN"/>
        </w:rPr>
        <w:t>运输：根据出渣量，合理配置炉渣倒运车辆，确保及时排渣，渣池炉渣存量符合生产要求，与渣吊岗位做好配合，运输车辆为炉渣运输专用车辆，装车过程中不超载，运输中不超速，不遗撒，做好苫盖。道路运输符合政府等监管部门对炉渣运输车辆的要求，遵守交通规则。</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车辆：配置炉渣专用运输车辆，做好密闭苫盖等工作。</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合规处置：炉渣清运至合规消纳处置场所，对炉渣进行合规处置，处置过程合法合规，遵守甲方及政府部门对炉渣处置的监管要求，炉渣加工处置过程及炉渣产品的应用消纳合规合法，做好物料平衡，产销储放符合规定，产品消纳去向和市场应用符合规定。</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应急方案：做好炉渣从出渣、到运输、到存放处置等全过程的应急方案，针对炉渣流转过程中的任何一个环节的应急情况制定保产措施。</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全流程确保焚烧发电正常稳定，全力无条件服从甲方工作安排，配合甲方迎检工作。</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Courier New" w:eastAsia="仿宋_GB2312" w:cs="Times New Roman"/>
          <w:kern w:val="2"/>
          <w:sz w:val="32"/>
          <w:szCs w:val="32"/>
          <w:lang w:val="en-US" w:eastAsia="zh-CN" w:bidi="ar-SA"/>
        </w:rPr>
      </w:pPr>
      <w:r>
        <w:rPr>
          <w:rFonts w:hint="eastAsia" w:ascii="仿宋_GB2312" w:hAnsi="Courier New" w:eastAsia="仿宋_GB2312" w:cs="Times New Roman"/>
          <w:kern w:val="2"/>
          <w:sz w:val="32"/>
          <w:szCs w:val="32"/>
          <w:lang w:val="en-US" w:eastAsia="zh-CN" w:bidi="ar-SA"/>
        </w:rPr>
        <w:t>环境管理要求：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Courier New" w:eastAsia="仿宋_GB2312" w:cs="Times New Roman"/>
          <w:kern w:val="2"/>
          <w:sz w:val="32"/>
          <w:szCs w:val="32"/>
          <w:lang w:val="en-US" w:eastAsia="zh-CN" w:bidi="ar-SA"/>
        </w:rPr>
      </w:pPr>
      <w:r>
        <w:rPr>
          <w:rFonts w:hint="eastAsia" w:ascii="仿宋_GB2312" w:hAnsi="Courier New" w:eastAsia="仿宋_GB2312" w:cs="Times New Roman"/>
          <w:kern w:val="2"/>
          <w:sz w:val="32"/>
          <w:szCs w:val="32"/>
          <w:lang w:val="en-US" w:eastAsia="zh-CN" w:bidi="ar-SA"/>
        </w:rPr>
        <w:t>1.炉渣处理单位应按环评要求设置污染防治设施，炉渣处理过程不应对土壤、地下水和周边环境造成污染。</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Courier New" w:eastAsia="仿宋_GB2312" w:cs="Times New Roman"/>
          <w:kern w:val="2"/>
          <w:sz w:val="32"/>
          <w:szCs w:val="32"/>
          <w:lang w:val="en-US" w:eastAsia="zh-CN" w:bidi="ar-SA"/>
        </w:rPr>
      </w:pPr>
      <w:r>
        <w:rPr>
          <w:rFonts w:hint="eastAsia" w:ascii="仿宋_GB2312" w:hAnsi="Courier New" w:eastAsia="仿宋_GB2312" w:cs="Times New Roman"/>
          <w:kern w:val="2"/>
          <w:sz w:val="32"/>
          <w:szCs w:val="32"/>
          <w:lang w:val="en-US" w:eastAsia="zh-CN" w:bidi="ar-SA"/>
        </w:rPr>
        <w:t>2.炉渣运输车辆应设置防抛洒、防渗漏措施。不应将炉渣随意堆放，违规倾倒、丢弃。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Courier New" w:eastAsia="仿宋_GB2312" w:cs="Times New Roman"/>
          <w:kern w:val="2"/>
          <w:sz w:val="32"/>
          <w:szCs w:val="32"/>
          <w:lang w:val="en-US" w:eastAsia="zh-CN" w:bidi="ar-SA"/>
        </w:rPr>
      </w:pPr>
      <w:r>
        <w:rPr>
          <w:rFonts w:hint="eastAsia" w:ascii="仿宋_GB2312" w:hAnsi="Courier New" w:eastAsia="仿宋_GB2312" w:cs="Times New Roman"/>
          <w:kern w:val="2"/>
          <w:sz w:val="32"/>
          <w:szCs w:val="32"/>
          <w:lang w:val="en-US" w:eastAsia="zh-CN" w:bidi="ar-SA"/>
        </w:rPr>
        <w:t xml:space="preserve">3.炉渣处理单位应根据环评建立监测制度、制定监测方案、应急预案，做好全过程台账管理、信息公开等管理要求，对处理前后的炉渣、综合利用产品及其对周边环境质量的影响保存监测原始数据，做好监测台账。环境监测、厂区污染控制要求应符合环保要求。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Courier New" w:eastAsia="仿宋_GB2312" w:cs="Times New Roman"/>
          <w:kern w:val="2"/>
          <w:sz w:val="32"/>
          <w:szCs w:val="32"/>
          <w:lang w:val="en-US" w:eastAsia="zh-CN" w:bidi="ar-SA"/>
        </w:rPr>
      </w:pPr>
      <w:r>
        <w:rPr>
          <w:rFonts w:hint="eastAsia" w:ascii="仿宋_GB2312" w:hAnsi="Courier New" w:eastAsia="仿宋_GB2312" w:cs="Times New Roman"/>
          <w:kern w:val="2"/>
          <w:sz w:val="32"/>
          <w:szCs w:val="32"/>
          <w:lang w:val="en-US" w:eastAsia="zh-CN" w:bidi="ar-SA"/>
        </w:rPr>
        <w:t>4.炉渣处理单位应对综合利用的集料中重金属污染物每季度至少检测一次。</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Courier New" w:eastAsia="仿宋_GB2312" w:cs="Times New Roman"/>
          <w:kern w:val="2"/>
          <w:sz w:val="32"/>
          <w:szCs w:val="32"/>
          <w:lang w:val="en-US" w:eastAsia="zh-CN" w:bidi="ar-SA"/>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Arial" w:eastAsia="仿宋_GB2312"/>
          <w:b/>
          <w:color w:val="auto"/>
          <w:sz w:val="28"/>
          <w:szCs w:val="28"/>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Arial" w:eastAsia="仿宋_GB2312"/>
          <w:b/>
          <w:color w:val="auto"/>
          <w:sz w:val="28"/>
          <w:szCs w:val="28"/>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Arial" w:eastAsia="仿宋_GB2312"/>
          <w:b/>
          <w:color w:val="auto"/>
          <w:sz w:val="28"/>
          <w:szCs w:val="28"/>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Arial" w:eastAsia="仿宋_GB2312"/>
          <w:b/>
          <w:color w:val="auto"/>
          <w:sz w:val="28"/>
          <w:szCs w:val="28"/>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pStyle w:val="15"/>
        <w:rPr>
          <w:rFonts w:hint="eastAsia" w:ascii="仿宋_GB2312" w:eastAsia="仿宋_GB2312"/>
          <w:color w:val="auto"/>
          <w:sz w:val="32"/>
          <w:lang w:val="en-US" w:eastAsia="zh-CN"/>
        </w:rPr>
        <w:sectPr>
          <w:pgSz w:w="11907" w:h="16840"/>
          <w:pgMar w:top="1361" w:right="1418" w:bottom="1361" w:left="1418" w:header="851" w:footer="964" w:gutter="284"/>
          <w:pgNumType w:fmt="numberInDash"/>
          <w:cols w:space="720" w:num="1"/>
          <w:titlePg/>
          <w:docGrid w:linePitch="271" w:charSpace="0"/>
        </w:sectPr>
      </w:pPr>
    </w:p>
    <w:tbl>
      <w:tblPr>
        <w:tblStyle w:val="12"/>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68" w:type="dxa"/>
            <w:gridSpan w:val="7"/>
            <w:tcBorders>
              <w:top w:val="nil"/>
              <w:left w:val="nil"/>
              <w:bottom w:val="single" w:color="000000" w:sz="4" w:space="0"/>
              <w:right w:val="nil"/>
            </w:tcBorders>
            <w:shd w:val="clear" w:color="auto" w:fill="auto"/>
            <w:vAlign w:val="center"/>
          </w:tcPr>
          <w:p>
            <w:pPr>
              <w:jc w:val="left"/>
              <w:rPr>
                <w:rFonts w:hint="eastAsia" w:ascii="仿宋_GB2312" w:hAnsi="宋体" w:eastAsia="仿宋_GB2312" w:cs="仿宋"/>
                <w:b/>
                <w:bCs/>
                <w:color w:val="auto"/>
                <w:sz w:val="28"/>
                <w:szCs w:val="28"/>
                <w:lang w:val="en-US" w:eastAsia="zh-CN"/>
              </w:rPr>
            </w:pPr>
            <w:r>
              <w:rPr>
                <w:rFonts w:hint="eastAsia" w:ascii="仿宋_GB2312" w:hAnsi="宋体" w:eastAsia="仿宋_GB2312" w:cs="仿宋"/>
                <w:b/>
                <w:bCs/>
                <w:color w:val="auto"/>
                <w:sz w:val="28"/>
                <w:szCs w:val="28"/>
                <w:lang w:val="en-US" w:eastAsia="zh-CN"/>
              </w:rPr>
              <w:t>附件七：</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65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35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5694"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投标标段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注册资本（万元）</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企业联系电话</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股东组成</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429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资质证照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项目经理</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安全员</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工程师</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认证证书</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line="560" w:lineRule="exact"/>
        <w:ind w:firstLine="5296" w:firstLineChars="1655"/>
        <w:jc w:val="left"/>
        <w:rPr>
          <w:rFonts w:hint="eastAsia" w:ascii="仿宋_GB2312" w:eastAsia="仿宋_GB2312"/>
          <w:color w:val="auto"/>
          <w:sz w:val="32"/>
        </w:rPr>
        <w:sectPr>
          <w:pgSz w:w="11907" w:h="16840"/>
          <w:pgMar w:top="1361" w:right="1418" w:bottom="1361" w:left="1418" w:header="851" w:footer="964" w:gutter="284"/>
          <w:pgNumType w:fmt="numberInDash"/>
          <w:cols w:space="720" w:num="1"/>
          <w:titlePg/>
          <w:docGrid w:linePitch="271" w:charSpace="0"/>
        </w:sectPr>
      </w:pPr>
    </w:p>
    <w:p>
      <w:pPr>
        <w:pStyle w:val="15"/>
        <w:rPr>
          <w:rFonts w:hint="eastAsia"/>
        </w:rPr>
      </w:pPr>
    </w:p>
    <w:p>
      <w:pPr>
        <w:pStyle w:val="15"/>
        <w:rPr>
          <w:rFonts w:hint="eastAsia" w:ascii="仿宋_GB2312" w:eastAsia="仿宋_GB2312"/>
          <w:color w:val="auto"/>
          <w:sz w:val="32"/>
          <w:lang w:val="en-US" w:eastAsia="zh-CN"/>
        </w:rPr>
      </w:pPr>
      <w:bookmarkStart w:id="2" w:name="_GoBack"/>
      <w:bookmarkEnd w:id="2"/>
      <w:bookmarkStart w:id="1" w:name="End"/>
      <w:bookmarkEnd w:id="1"/>
    </w:p>
    <w:sectPr>
      <w:pgSz w:w="16840" w:h="11907" w:orient="landscape"/>
      <w:pgMar w:top="1418" w:right="1361" w:bottom="1418" w:left="1361"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47714"/>
    <w:multiLevelType w:val="singleLevel"/>
    <w:tmpl w:val="91F477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4D57360"/>
    <w:rsid w:val="0639213D"/>
    <w:rsid w:val="081F7F55"/>
    <w:rsid w:val="0A8821D6"/>
    <w:rsid w:val="0C6368FF"/>
    <w:rsid w:val="107F33E2"/>
    <w:rsid w:val="10C1008B"/>
    <w:rsid w:val="12CD3DBB"/>
    <w:rsid w:val="13934D27"/>
    <w:rsid w:val="148D0DA3"/>
    <w:rsid w:val="17B90DF1"/>
    <w:rsid w:val="18E570E8"/>
    <w:rsid w:val="1A6803B6"/>
    <w:rsid w:val="1C4F2D03"/>
    <w:rsid w:val="1D851F3F"/>
    <w:rsid w:val="217B04DD"/>
    <w:rsid w:val="21DF10AD"/>
    <w:rsid w:val="2AEA6823"/>
    <w:rsid w:val="2B236C4F"/>
    <w:rsid w:val="2CB7386A"/>
    <w:rsid w:val="2D0839C4"/>
    <w:rsid w:val="2E2A4680"/>
    <w:rsid w:val="338A7F0A"/>
    <w:rsid w:val="34780C53"/>
    <w:rsid w:val="3A2B02EC"/>
    <w:rsid w:val="3D361A26"/>
    <w:rsid w:val="3F6F5ED1"/>
    <w:rsid w:val="400B247B"/>
    <w:rsid w:val="44932BEF"/>
    <w:rsid w:val="4566763F"/>
    <w:rsid w:val="46B457D0"/>
    <w:rsid w:val="47261C3D"/>
    <w:rsid w:val="4C112FF3"/>
    <w:rsid w:val="4C852A0A"/>
    <w:rsid w:val="4DB538B9"/>
    <w:rsid w:val="4DD94EEC"/>
    <w:rsid w:val="4E1253E1"/>
    <w:rsid w:val="4F3F0234"/>
    <w:rsid w:val="4FBF6451"/>
    <w:rsid w:val="50F1344C"/>
    <w:rsid w:val="52171610"/>
    <w:rsid w:val="54BC3F27"/>
    <w:rsid w:val="54E62189"/>
    <w:rsid w:val="575E3F95"/>
    <w:rsid w:val="58222830"/>
    <w:rsid w:val="59D32AE1"/>
    <w:rsid w:val="5C0E3941"/>
    <w:rsid w:val="5C6825AA"/>
    <w:rsid w:val="5F6302C6"/>
    <w:rsid w:val="5FC353A5"/>
    <w:rsid w:val="604F449B"/>
    <w:rsid w:val="60AB7E86"/>
    <w:rsid w:val="63D66318"/>
    <w:rsid w:val="6587755B"/>
    <w:rsid w:val="65D60782"/>
    <w:rsid w:val="667E2026"/>
    <w:rsid w:val="67755B92"/>
    <w:rsid w:val="67B0620F"/>
    <w:rsid w:val="68303598"/>
    <w:rsid w:val="694D4756"/>
    <w:rsid w:val="6A9F07BD"/>
    <w:rsid w:val="6ACD1926"/>
    <w:rsid w:val="6CEF242D"/>
    <w:rsid w:val="7129774D"/>
    <w:rsid w:val="72201FFF"/>
    <w:rsid w:val="74E25B87"/>
    <w:rsid w:val="75945B50"/>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qFormat/>
    <w:uiPriority w:val="0"/>
    <w:pPr>
      <w:ind w:firstLine="420"/>
    </w:pPr>
    <w:rPr>
      <w:szCs w:val="20"/>
    </w:rPr>
  </w:style>
  <w:style w:type="paragraph" w:styleId="7">
    <w:name w:val="Body Text"/>
    <w:basedOn w:val="1"/>
    <w:next w:val="1"/>
    <w:qFormat/>
    <w:uiPriority w:val="0"/>
    <w:pPr>
      <w:spacing w:line="0" w:lineRule="atLeast"/>
    </w:pPr>
    <w:rPr>
      <w:sz w:val="30"/>
      <w:szCs w:val="20"/>
    </w:rPr>
  </w:style>
  <w:style w:type="paragraph" w:styleId="8">
    <w:name w:val="Date"/>
    <w:basedOn w:val="1"/>
    <w:next w:val="1"/>
    <w:qFormat/>
    <w:uiPriority w:val="0"/>
    <w:rPr>
      <w:sz w:val="24"/>
      <w:szCs w:val="24"/>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6">
    <w:name w:val="NormalCharacter"/>
    <w:semiHidden/>
    <w:qFormat/>
    <w:uiPriority w:val="0"/>
  </w:style>
  <w:style w:type="paragraph" w:customStyle="1" w:styleId="1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8324</Words>
  <Characters>8751</Characters>
  <Lines>0</Lines>
  <Paragraphs>0</Paragraphs>
  <TotalTime>16</TotalTime>
  <ScaleCrop>false</ScaleCrop>
  <LinksUpToDate>false</LinksUpToDate>
  <CharactersWithSpaces>9975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2023-12-17T01:29:00Z</cp:lastPrinted>
  <dcterms:modified xsi:type="dcterms:W3CDTF">2023-12-18T06:50:51Z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1E962EE187A44C238963DC86C06BB06A</vt:lpwstr>
  </property>
</Properties>
</file>