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Arial" w:eastAsia="仿宋_GB2312"/>
          <w:b/>
          <w:color w:val="auto"/>
          <w:sz w:val="28"/>
          <w:szCs w:val="28"/>
        </w:rPr>
      </w:pPr>
      <w:bookmarkStart w:id="0" w:name="_Toc65828643"/>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二</w:t>
      </w:r>
      <w:r>
        <w:rPr>
          <w:rFonts w:hint="eastAsia" w:ascii="仿宋_GB2312" w:hAnsi="Arial" w:eastAsia="仿宋_GB2312"/>
          <w:b/>
          <w:color w:val="auto"/>
          <w:sz w:val="28"/>
          <w:szCs w:val="28"/>
        </w:rPr>
        <w:t>：</w:t>
      </w:r>
    </w:p>
    <w:p>
      <w:pPr>
        <w:pStyle w:val="10"/>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pPr>
        <w:spacing w:after="120" w:afterLines="50"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ind w:firstLine="2940" w:firstLineChars="1400"/>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rPr>
          <w:rFonts w:hint="eastAsia" w:ascii="仿宋_GB2312" w:eastAsia="仿宋_GB2312"/>
          <w:color w:val="auto"/>
          <w:sz w:val="28"/>
        </w:rPr>
      </w:pPr>
    </w:p>
    <w:p>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pgNumType w:fmt="numberInDash"/>
          <w:cols w:space="720" w:num="1"/>
          <w:docGrid w:linePitch="326" w:charSpace="0"/>
        </w:sectPr>
      </w:pPr>
    </w:p>
    <w:bookmarkEnd w:id="0"/>
    <w:p>
      <w:pPr>
        <w:widowControl/>
        <w:spacing w:line="480" w:lineRule="exact"/>
        <w:jc w:val="left"/>
        <w:rPr>
          <w:rFonts w:hint="eastAsia" w:ascii="仿宋_GB2312" w:hAnsi="Arial" w:eastAsia="仿宋_GB2312"/>
          <w:b/>
          <w:color w:val="auto"/>
          <w:sz w:val="28"/>
          <w:szCs w:val="28"/>
          <w:lang w:val="en-US" w:eastAsia="zh-CN"/>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四</w:t>
      </w:r>
      <w:r>
        <w:rPr>
          <w:rFonts w:hint="eastAsia" w:ascii="仿宋_GB2312" w:hAnsi="Arial" w:eastAsia="仿宋_GB2312"/>
          <w:b/>
          <w:color w:val="auto"/>
          <w:sz w:val="28"/>
          <w:szCs w:val="28"/>
        </w:rPr>
        <w:t>：</w:t>
      </w:r>
      <w:r>
        <w:rPr>
          <w:rFonts w:hint="eastAsia" w:ascii="仿宋_GB2312" w:hAnsi="Arial" w:eastAsia="仿宋_GB2312"/>
          <w:b/>
          <w:color w:val="auto"/>
          <w:sz w:val="28"/>
          <w:szCs w:val="28"/>
          <w:lang w:val="en-US" w:eastAsia="zh-CN"/>
        </w:rPr>
        <w:t>余热锅炉炉管修复施工方案要求</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本次招标计划完成的项目为两台余热锅炉省煤器疏水管240根、蛇形管4组、蛇形管上下弯头70件、蛇形管6米直管70件、蛇形管道附件更换、防磨罩更换、浇注料及保温的修复。投标单位负责管道及材料、施工、恢复保温、无损探伤、成品保护、相关报批手续等全部内容，投标方在制定施工方案前需全面掌握。</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《生活垃圾焚烧炉和余热锅炉》（GB/T18750）</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2)</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《火力发电厂金属材料选用导则》（DL/T 715-2015）</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3)</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《锅炉安全技术监察规程》（TSG G0001-2012）</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4)</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《电力工业锅炉压力容器监察规程》（DL/T 612-1996）</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5)</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《水管锅炉合订本》（GB/T 16507.1～16507.8-2013）；</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6)</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《工业锅炉热工试验规范》（GB/T 10180-2003）；</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7)</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《高压锅炉用无缝钢管》(GB5310)</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8)</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《低中压锅炉用无缝钢管》(GB3087)</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9)</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《工业锅炉锅筒内部装置设计导则》（JB/T 9618-1999）；</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10)</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《锅炉钢结构制造技术规范》（NB/T 47043-2014）</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11)</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《锅炉原材料入厂检验标准》（JB/T3375）；</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12)</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《锅炉油漆包装技术条件》（JB/T1615）</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13)</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《锅炉管道附件承压铸钢件技术条件》（JB/T9625）</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14)</w:t>
      </w:r>
      <w:r>
        <w:rPr>
          <w:rFonts w:hint="eastAsia" w:ascii="仿宋_GB2312" w:hAnsi="仿宋_GB2312" w:eastAsia="仿宋_GB2312" w:cs="仿宋_GB2312"/>
          <w:color w:val="auto"/>
          <w:kern w:val="2"/>
          <w:sz w:val="30"/>
          <w:szCs w:val="30"/>
          <w:lang w:val="en-US" w:eastAsia="zh-CN" w:bidi="ar-SA"/>
        </w:rPr>
        <w:tab/>
      </w:r>
      <w:r>
        <w:rPr>
          <w:rFonts w:hint="eastAsia" w:ascii="仿宋_GB2312" w:hAnsi="仿宋_GB2312" w:eastAsia="仿宋_GB2312" w:cs="仿宋_GB2312"/>
          <w:color w:val="auto"/>
          <w:kern w:val="2"/>
          <w:sz w:val="30"/>
          <w:szCs w:val="30"/>
          <w:lang w:val="en-US" w:eastAsia="zh-CN" w:bidi="ar-SA"/>
        </w:rPr>
        <w:t>《锅炉锻件技术条件》（JB/T9626）；</w:t>
      </w:r>
    </w:p>
    <w:p>
      <w:pPr>
        <w:pStyle w:val="15"/>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15）《承压设备焊接工艺评定》（NB-T47014-2011）</w:t>
      </w:r>
    </w:p>
    <w:p>
      <w:pPr>
        <w:pStyle w:val="15"/>
        <w:ind w:left="0" w:leftChars="0" w:firstLine="0" w:firstLineChars="0"/>
        <w:rPr>
          <w:color w:val="auto"/>
          <w:sz w:val="30"/>
          <w:szCs w:val="30"/>
        </w:rPr>
      </w:pPr>
      <w:r>
        <w:rPr>
          <w:rFonts w:hint="eastAsia" w:ascii="仿宋_GB2312" w:hAnsi="仿宋_GB2312" w:eastAsia="仿宋_GB2312" w:cs="仿宋_GB2312"/>
          <w:color w:val="auto"/>
          <w:kern w:val="2"/>
          <w:sz w:val="30"/>
          <w:szCs w:val="30"/>
          <w:lang w:val="en-US" w:eastAsia="zh-CN" w:bidi="ar-SA"/>
        </w:rPr>
        <w:t>等锅炉安装、维修相关技术规范。锅炉受压元件的设计、制造、安装与测试应满足ASME锅炉和压力容器规范、国家标准的要求。依规并结合现场情况制定完整详实的余热锅炉炉管修复施工方案。</w:t>
      </w:r>
    </w:p>
    <w:p>
      <w:pPr>
        <w:widowControl/>
        <w:spacing w:line="480" w:lineRule="exact"/>
        <w:jc w:val="left"/>
        <w:rPr>
          <w:rFonts w:hint="eastAsia" w:ascii="仿宋_GB2312" w:hAnsi="Arial" w:eastAsia="仿宋_GB2312"/>
          <w:b/>
          <w:color w:val="auto"/>
          <w:sz w:val="28"/>
          <w:szCs w:val="28"/>
          <w:lang w:eastAsia="zh-CN"/>
        </w:rPr>
      </w:pPr>
      <w:r>
        <w:rPr>
          <w:rFonts w:hint="eastAsia" w:ascii="仿宋_GB2312" w:hAnsi="Arial" w:eastAsia="仿宋_GB2312"/>
          <w:b/>
          <w:color w:val="auto"/>
          <w:sz w:val="28"/>
          <w:szCs w:val="28"/>
          <w:lang w:eastAsia="zh-CN"/>
        </w:rPr>
        <w:t>施工部位图纸：</w:t>
      </w:r>
    </w:p>
    <w:p>
      <w:pPr>
        <w:pStyle w:val="2"/>
        <w:rPr>
          <w:rFonts w:hint="eastAsia" w:ascii="仿宋_GB2312" w:hAnsi="Arial" w:eastAsia="仿宋_GB2312"/>
          <w:b/>
          <w:color w:val="auto"/>
          <w:sz w:val="28"/>
          <w:szCs w:val="28"/>
        </w:rPr>
      </w:pPr>
      <w:r>
        <w:rPr>
          <w:rFonts w:hint="eastAsia" w:ascii="仿宋_GB2312" w:hAnsi="Arial" w:eastAsia="仿宋_GB2312"/>
          <w:b/>
          <w:color w:val="auto"/>
          <w:sz w:val="28"/>
          <w:szCs w:val="28"/>
          <w:lang w:eastAsia="zh-CN"/>
        </w:rPr>
        <w:drawing>
          <wp:inline distT="0" distB="0" distL="114300" distR="114300">
            <wp:extent cx="5157470" cy="3615055"/>
            <wp:effectExtent l="0" t="0" r="5080" b="4445"/>
            <wp:docPr id="2" name="图片 2" descr="7eca18c43453612c82002bde9a3f6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eca18c43453612c82002bde9a3f6d5"/>
                    <pic:cNvPicPr>
                      <a:picLocks noChangeAspect="1"/>
                    </pic:cNvPicPr>
                  </pic:nvPicPr>
                  <pic:blipFill>
                    <a:blip r:embed="rId6"/>
                    <a:stretch>
                      <a:fillRect/>
                    </a:stretch>
                  </pic:blipFill>
                  <pic:spPr>
                    <a:xfrm>
                      <a:off x="0" y="0"/>
                      <a:ext cx="5157470" cy="3615055"/>
                    </a:xfrm>
                    <a:prstGeom prst="rect">
                      <a:avLst/>
                    </a:prstGeom>
                  </pic:spPr>
                </pic:pic>
              </a:graphicData>
            </a:graphic>
          </wp:inline>
        </w:drawing>
      </w: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lang w:eastAsia="zh-CN"/>
        </w:rPr>
      </w:pPr>
      <w:r>
        <w:rPr>
          <w:rFonts w:hint="eastAsia" w:ascii="仿宋_GB2312" w:hAnsi="Arial" w:eastAsia="仿宋_GB2312"/>
          <w:b/>
          <w:color w:val="auto"/>
          <w:sz w:val="28"/>
          <w:szCs w:val="28"/>
          <w:lang w:eastAsia="zh-CN"/>
        </w:rPr>
        <w:drawing>
          <wp:inline distT="0" distB="0" distL="114300" distR="114300">
            <wp:extent cx="5048885" cy="3575050"/>
            <wp:effectExtent l="0" t="0" r="18415" b="6350"/>
            <wp:docPr id="3" name="图片 3" descr="f3137a4fe43678ff8bb333207951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3137a4fe43678ff8bb333207951e21"/>
                    <pic:cNvPicPr>
                      <a:picLocks noChangeAspect="1"/>
                    </pic:cNvPicPr>
                  </pic:nvPicPr>
                  <pic:blipFill>
                    <a:blip r:embed="rId7"/>
                    <a:stretch>
                      <a:fillRect/>
                    </a:stretch>
                  </pic:blipFill>
                  <pic:spPr>
                    <a:xfrm>
                      <a:off x="0" y="0"/>
                      <a:ext cx="5048885" cy="3575050"/>
                    </a:xfrm>
                    <a:prstGeom prst="rect">
                      <a:avLst/>
                    </a:prstGeom>
                  </pic:spPr>
                </pic:pic>
              </a:graphicData>
            </a:graphic>
          </wp:inline>
        </w:drawing>
      </w:r>
    </w:p>
    <w:p>
      <w:pPr>
        <w:pStyle w:val="2"/>
        <w:rPr>
          <w:rFonts w:hint="eastAsia" w:ascii="仿宋_GB2312" w:hAnsi="Arial" w:eastAsia="仿宋_GB2312"/>
          <w:b/>
          <w:color w:val="auto"/>
          <w:sz w:val="28"/>
          <w:szCs w:val="28"/>
        </w:rPr>
      </w:pPr>
      <w:r>
        <w:rPr>
          <w:rFonts w:hint="eastAsia" w:ascii="仿宋_GB2312" w:hAnsi="Arial" w:eastAsia="仿宋_GB2312"/>
          <w:b/>
          <w:color w:val="auto"/>
          <w:sz w:val="28"/>
          <w:szCs w:val="28"/>
          <w:lang w:eastAsia="zh-CN"/>
        </w:rPr>
        <w:drawing>
          <wp:inline distT="0" distB="0" distL="114300" distR="114300">
            <wp:extent cx="5566410" cy="3902075"/>
            <wp:effectExtent l="0" t="0" r="15240" b="3175"/>
            <wp:docPr id="4" name="图片 4" descr="3e03f43626d96c27b82b8d7f6c3b4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e03f43626d96c27b82b8d7f6c3b4d7"/>
                    <pic:cNvPicPr>
                      <a:picLocks noChangeAspect="1"/>
                    </pic:cNvPicPr>
                  </pic:nvPicPr>
                  <pic:blipFill>
                    <a:blip r:embed="rId8"/>
                    <a:stretch>
                      <a:fillRect/>
                    </a:stretch>
                  </pic:blipFill>
                  <pic:spPr>
                    <a:xfrm>
                      <a:off x="0" y="0"/>
                      <a:ext cx="5566410" cy="3902075"/>
                    </a:xfrm>
                    <a:prstGeom prst="rect">
                      <a:avLst/>
                    </a:prstGeom>
                  </pic:spPr>
                </pic:pic>
              </a:graphicData>
            </a:graphic>
          </wp:inline>
        </w:drawing>
      </w: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lang w:eastAsia="zh-CN"/>
        </w:rPr>
      </w:pPr>
      <w:r>
        <w:rPr>
          <w:rFonts w:hint="eastAsia" w:ascii="仿宋_GB2312" w:hAnsi="Arial" w:eastAsia="仿宋_GB2312"/>
          <w:b/>
          <w:color w:val="auto"/>
          <w:sz w:val="28"/>
          <w:szCs w:val="28"/>
          <w:lang w:eastAsia="zh-CN"/>
        </w:rPr>
        <w:drawing>
          <wp:inline distT="0" distB="0" distL="114300" distR="114300">
            <wp:extent cx="5575300" cy="3917315"/>
            <wp:effectExtent l="0" t="0" r="6350" b="6985"/>
            <wp:docPr id="5" name="图片 5" descr="74be58d352877e73ec851396675e0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4be58d352877e73ec851396675e0b8"/>
                    <pic:cNvPicPr>
                      <a:picLocks noChangeAspect="1"/>
                    </pic:cNvPicPr>
                  </pic:nvPicPr>
                  <pic:blipFill>
                    <a:blip r:embed="rId9"/>
                    <a:stretch>
                      <a:fillRect/>
                    </a:stretch>
                  </pic:blipFill>
                  <pic:spPr>
                    <a:xfrm>
                      <a:off x="0" y="0"/>
                      <a:ext cx="5575300" cy="3917315"/>
                    </a:xfrm>
                    <a:prstGeom prst="rect">
                      <a:avLst/>
                    </a:prstGeom>
                  </pic:spPr>
                </pic:pic>
              </a:graphicData>
            </a:graphic>
          </wp:inline>
        </w:drawing>
      </w: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lang w:eastAsia="zh-CN"/>
        </w:rPr>
      </w:pPr>
    </w:p>
    <w:p>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五</w:t>
      </w:r>
      <w:r>
        <w:rPr>
          <w:rFonts w:hint="eastAsia" w:ascii="仿宋_GB2312" w:hAnsi="Arial" w:eastAsia="仿宋_GB2312"/>
          <w:b/>
          <w:color w:val="auto"/>
          <w:sz w:val="28"/>
          <w:szCs w:val="28"/>
        </w:rPr>
        <w:t>：</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pPr>
        <w:rPr>
          <w:rFonts w:hint="eastAsia" w:ascii="仿宋" w:hAnsi="仿宋" w:eastAsia="仿宋" w:cs="仿宋"/>
          <w:color w:val="auto"/>
          <w:sz w:val="30"/>
          <w:szCs w:val="30"/>
        </w:rPr>
      </w:pPr>
    </w:p>
    <w:p>
      <w:pPr>
        <w:spacing w:line="520" w:lineRule="exact"/>
        <w:rPr>
          <w:rFonts w:hint="eastAsia" w:ascii="仿宋_GB2312" w:hAnsi="仿宋" w:eastAsia="仿宋_GB2312" w:cs="仿宋"/>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u w:val="single"/>
          <w:lang w:val="en-US" w:eastAsia="zh-CN"/>
        </w:rPr>
        <w:t xml:space="preserve">        </w:t>
      </w:r>
      <w:r>
        <w:rPr>
          <w:rFonts w:hint="eastAsia" w:ascii="仿宋_GB2312" w:hAnsi="仿宋" w:eastAsia="仿宋_GB2312" w:cs="仿宋"/>
          <w:color w:val="auto"/>
          <w:sz w:val="30"/>
          <w:szCs w:val="30"/>
          <w:u w:val="single"/>
        </w:rPr>
        <w:t>（</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 xml:space="preserve">     </w:t>
      </w:r>
      <w:r>
        <w:rPr>
          <w:rFonts w:hint="eastAsia" w:ascii="仿宋_GB2312" w:hAnsi="仿宋" w:eastAsia="仿宋_GB2312" w:cs="仿宋"/>
          <w:color w:val="auto"/>
          <w:sz w:val="30"/>
          <w:szCs w:val="30"/>
        </w:rPr>
        <w:t>）招投标项目。</w:t>
      </w:r>
    </w:p>
    <w:p>
      <w:pPr>
        <w:spacing w:line="520" w:lineRule="exact"/>
        <w:ind w:left="1320" w:leftChars="200" w:hanging="900" w:hangingChars="3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rPr>
        <w:t>种方式向贵公司交纳投标保证金</w:t>
      </w:r>
      <w:r>
        <w:rPr>
          <w:rFonts w:hint="eastAsia" w:ascii="仿宋_GB2312" w:hAnsi="仿宋" w:eastAsia="仿宋_GB2312" w:cs="仿宋"/>
          <w:color w:val="auto"/>
          <w:sz w:val="30"/>
          <w:szCs w:val="30"/>
          <w:u w:val="single"/>
          <w:lang w:val="en-US" w:eastAsia="zh-CN"/>
        </w:rPr>
        <w:t>3</w:t>
      </w:r>
      <w:r>
        <w:rPr>
          <w:rFonts w:hint="eastAsia" w:ascii="仿宋_GB2312" w:hAnsi="仿宋" w:eastAsia="仿宋_GB2312" w:cs="仿宋"/>
          <w:color w:val="auto"/>
          <w:sz w:val="30"/>
          <w:szCs w:val="30"/>
          <w:u w:val="single"/>
        </w:rPr>
        <w:t>0000</w:t>
      </w:r>
      <w:r>
        <w:rPr>
          <w:rFonts w:hint="eastAsia" w:ascii="仿宋_GB2312" w:hAnsi="仿宋" w:eastAsia="仿宋_GB2312" w:cs="仿宋"/>
          <w:color w:val="auto"/>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备查，</w:t>
      </w:r>
      <w:r>
        <w:rPr>
          <w:rFonts w:hint="eastAsia" w:ascii="仿宋_GB2312" w:hAnsi="仿宋" w:eastAsia="仿宋_GB2312" w:cs="仿宋"/>
          <w:color w:val="auto"/>
          <w:sz w:val="30"/>
          <w:szCs w:val="30"/>
          <w:lang w:val="en-US" w:eastAsia="zh-CN"/>
        </w:rPr>
        <w:t>中标后转至招标方指定账户转为履约保证金</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同时我们承诺，我公司投标资料如有造假或我公司陈述如有不实，我公司自愿将已交纳的投标保证金由贵公司全额予以没收，我公司放弃就此提出任何权利主张。</w:t>
      </w:r>
    </w:p>
    <w:p>
      <w:pPr>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pPr>
        <w:ind w:firstLine="7200" w:firstLineChars="2400"/>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lang w:val="en-US" w:eastAsia="zh-CN"/>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tbl>
      <w:tblPr>
        <w:tblStyle w:val="11"/>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439"/>
        <w:gridCol w:w="810"/>
        <w:gridCol w:w="1404"/>
        <w:gridCol w:w="1934"/>
        <w:gridCol w:w="675"/>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168" w:type="dxa"/>
            <w:gridSpan w:val="7"/>
            <w:tcBorders>
              <w:top w:val="nil"/>
              <w:left w:val="nil"/>
              <w:bottom w:val="single" w:color="000000" w:sz="4" w:space="0"/>
              <w:right w:val="nil"/>
            </w:tcBorders>
            <w:shd w:val="clear" w:color="auto" w:fill="auto"/>
            <w:vAlign w:val="center"/>
          </w:tcPr>
          <w:p>
            <w:pPr>
              <w:jc w:val="left"/>
              <w:rPr>
                <w:rFonts w:hint="eastAsia" w:ascii="仿宋_GB2312" w:hAnsi="宋体" w:eastAsia="仿宋_GB2312" w:cs="仿宋"/>
                <w:b/>
                <w:bCs/>
                <w:color w:val="auto"/>
                <w:sz w:val="28"/>
                <w:szCs w:val="28"/>
                <w:lang w:val="en-US" w:eastAsia="zh-CN"/>
              </w:rPr>
            </w:pPr>
            <w:bookmarkStart w:id="2" w:name="_GoBack"/>
            <w:bookmarkEnd w:id="2"/>
            <w:r>
              <w:rPr>
                <w:rFonts w:hint="eastAsia" w:ascii="仿宋_GB2312" w:hAnsi="宋体" w:eastAsia="仿宋_GB2312" w:cs="仿宋"/>
                <w:b/>
                <w:bCs/>
                <w:color w:val="auto"/>
                <w:sz w:val="28"/>
                <w:szCs w:val="28"/>
                <w:lang w:val="en-US" w:eastAsia="zh-CN"/>
              </w:rPr>
              <w:t>附件七：</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2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公司名称</w:t>
            </w:r>
          </w:p>
        </w:tc>
        <w:tc>
          <w:tcPr>
            <w:tcW w:w="3654"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住所地</w:t>
            </w:r>
          </w:p>
        </w:tc>
        <w:tc>
          <w:tcPr>
            <w:tcW w:w="2355"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 名称</w:t>
            </w:r>
          </w:p>
        </w:tc>
        <w:tc>
          <w:tcPr>
            <w:tcW w:w="5694"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纳税人资格</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投标标段</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法定代表人（负责人）</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委托代理人</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联系电话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注册资本（万元）</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实缴资本 （万元）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企业联系电话</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股东组成</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董事</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监事</w:t>
            </w:r>
          </w:p>
        </w:tc>
        <w:tc>
          <w:tcPr>
            <w:tcW w:w="4290"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资质证照</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项目经理</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安全员</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工程师</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认证证书</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1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widowControl/>
        <w:spacing w:line="560" w:lineRule="exact"/>
        <w:ind w:firstLine="5296" w:firstLineChars="1655"/>
        <w:jc w:val="left"/>
        <w:rPr>
          <w:rFonts w:hint="eastAsia" w:ascii="仿宋_GB2312" w:eastAsia="仿宋_GB2312"/>
          <w:color w:val="auto"/>
          <w:sz w:val="32"/>
        </w:rPr>
        <w:sectPr>
          <w:pgSz w:w="11907" w:h="16840"/>
          <w:pgMar w:top="1361" w:right="1418" w:bottom="1361" w:left="1418" w:header="851" w:footer="964" w:gutter="284"/>
          <w:pgNumType w:fmt="numberInDash"/>
          <w:cols w:space="720" w:num="1"/>
          <w:titlePg/>
          <w:docGrid w:linePitch="271" w:charSpace="0"/>
        </w:sectPr>
      </w:pPr>
    </w:p>
    <w:p>
      <w:pPr>
        <w:pStyle w:val="2"/>
        <w:rPr>
          <w:rFonts w:hint="eastAsia" w:ascii="仿宋_GB2312" w:eastAsia="仿宋_GB2312"/>
          <w:color w:val="auto"/>
          <w:sz w:val="32"/>
          <w:lang w:val="en-US" w:eastAsia="zh-CN"/>
        </w:rPr>
      </w:pPr>
      <w:bookmarkStart w:id="1" w:name="End"/>
      <w:bookmarkEnd w:id="1"/>
    </w:p>
    <w:sectPr>
      <w:pgSz w:w="16840" w:h="11907" w:orient="landscape"/>
      <w:pgMar w:top="1418" w:right="1361" w:bottom="1418" w:left="1361" w:header="851" w:footer="964" w:gutter="284"/>
      <w:pgNumType w:fmt="numberInDash"/>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260" w:hanging="4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 w:name="DocumentID" w:val="{19225048-B9A3-4DEC-9583-AB0EBBF4B69C}"/>
    <w:docVar w:name="DocumentName" w:val="30312.007845115844"/>
  </w:docVars>
  <w:rsids>
    <w:rsidRoot w:val="68303598"/>
    <w:rsid w:val="01800041"/>
    <w:rsid w:val="0639213D"/>
    <w:rsid w:val="081F7F55"/>
    <w:rsid w:val="0C6368FF"/>
    <w:rsid w:val="10C1008B"/>
    <w:rsid w:val="12CD3DBB"/>
    <w:rsid w:val="13934D27"/>
    <w:rsid w:val="148D0DA3"/>
    <w:rsid w:val="17B90DF1"/>
    <w:rsid w:val="18E570E8"/>
    <w:rsid w:val="1A6803B6"/>
    <w:rsid w:val="1C4F2D03"/>
    <w:rsid w:val="217B04DD"/>
    <w:rsid w:val="2AEA6823"/>
    <w:rsid w:val="2B236C4F"/>
    <w:rsid w:val="2CB7386A"/>
    <w:rsid w:val="2D0839C4"/>
    <w:rsid w:val="338A7F0A"/>
    <w:rsid w:val="3A2B02EC"/>
    <w:rsid w:val="3D361A26"/>
    <w:rsid w:val="3F6F5ED1"/>
    <w:rsid w:val="400B247B"/>
    <w:rsid w:val="4566763F"/>
    <w:rsid w:val="46B457D0"/>
    <w:rsid w:val="47261C3D"/>
    <w:rsid w:val="4C112FF3"/>
    <w:rsid w:val="4C852A0A"/>
    <w:rsid w:val="4DB538B9"/>
    <w:rsid w:val="4DD94EEC"/>
    <w:rsid w:val="4E1253E1"/>
    <w:rsid w:val="4FBF6451"/>
    <w:rsid w:val="50F1344C"/>
    <w:rsid w:val="52171610"/>
    <w:rsid w:val="54BC3F27"/>
    <w:rsid w:val="54E62189"/>
    <w:rsid w:val="575E3F95"/>
    <w:rsid w:val="58222830"/>
    <w:rsid w:val="59D32AE1"/>
    <w:rsid w:val="5C0E3941"/>
    <w:rsid w:val="5F6302C6"/>
    <w:rsid w:val="5FC353A5"/>
    <w:rsid w:val="604F449B"/>
    <w:rsid w:val="60AB7E86"/>
    <w:rsid w:val="63D66318"/>
    <w:rsid w:val="64D25C36"/>
    <w:rsid w:val="6587755B"/>
    <w:rsid w:val="65D60782"/>
    <w:rsid w:val="667E2026"/>
    <w:rsid w:val="67755B92"/>
    <w:rsid w:val="67B0620F"/>
    <w:rsid w:val="68303598"/>
    <w:rsid w:val="694D4756"/>
    <w:rsid w:val="6A9F07BD"/>
    <w:rsid w:val="6CEF242D"/>
    <w:rsid w:val="700B0448"/>
    <w:rsid w:val="7129774D"/>
    <w:rsid w:val="72201FFF"/>
    <w:rsid w:val="74E25B87"/>
    <w:rsid w:val="770C66B0"/>
    <w:rsid w:val="7DCE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
    <w:name w:val="Normal Indent"/>
    <w:basedOn w:val="1"/>
    <w:qFormat/>
    <w:uiPriority w:val="0"/>
    <w:pPr>
      <w:ind w:firstLine="420"/>
    </w:pPr>
    <w:rPr>
      <w:szCs w:val="20"/>
    </w:rPr>
  </w:style>
  <w:style w:type="paragraph" w:styleId="5">
    <w:name w:val="Body Text"/>
    <w:basedOn w:val="1"/>
    <w:qFormat/>
    <w:uiPriority w:val="0"/>
    <w:pPr>
      <w:spacing w:line="0" w:lineRule="atLeast"/>
    </w:pPr>
    <w:rPr>
      <w:sz w:val="30"/>
      <w:szCs w:val="20"/>
    </w:rPr>
  </w:style>
  <w:style w:type="paragraph" w:styleId="6">
    <w:name w:val="Plain Text"/>
    <w:basedOn w:val="1"/>
    <w:qFormat/>
    <w:uiPriority w:val="0"/>
    <w:rPr>
      <w:rFonts w:ascii="宋体" w:hAnsi="Courier New"/>
      <w:szCs w:val="20"/>
    </w:rPr>
  </w:style>
  <w:style w:type="paragraph" w:styleId="7">
    <w:name w:val="Date"/>
    <w:basedOn w:val="1"/>
    <w:next w:val="1"/>
    <w:qFormat/>
    <w:uiPriority w:val="0"/>
    <w:rPr>
      <w:sz w:val="24"/>
      <w:szCs w:val="24"/>
    </w:rPr>
  </w:style>
  <w:style w:type="paragraph" w:styleId="8">
    <w:name w:val="footer"/>
    <w:basedOn w:val="1"/>
    <w:qFormat/>
    <w:uiPriority w:val="0"/>
    <w:pPr>
      <w:widowControl/>
      <w:tabs>
        <w:tab w:val="center" w:pos="4153"/>
        <w:tab w:val="right" w:pos="8306"/>
      </w:tabs>
      <w:snapToGrid w:val="0"/>
      <w:jc w:val="left"/>
    </w:pPr>
    <w:rPr>
      <w:kern w:val="0"/>
      <w:sz w:val="18"/>
      <w:szCs w:val="20"/>
    </w:rPr>
  </w:style>
  <w:style w:type="paragraph" w:styleId="9">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0">
    <w:name w:val="footnote text"/>
    <w:basedOn w:val="1"/>
    <w:qFormat/>
    <w:uiPriority w:val="0"/>
    <w:pPr>
      <w:snapToGrid w:val="0"/>
      <w:jc w:val="left"/>
    </w:pPr>
    <w:rPr>
      <w:sz w:val="18"/>
      <w:szCs w:val="18"/>
    </w:rPr>
  </w:style>
  <w:style w:type="character" w:styleId="13">
    <w:name w:val="page number"/>
    <w:basedOn w:val="12"/>
    <w:qFormat/>
    <w:uiPriority w:val="0"/>
  </w:style>
  <w:style w:type="character" w:customStyle="1" w:styleId="14">
    <w:name w:val="NormalCharacter"/>
    <w:semiHidden/>
    <w:qFormat/>
    <w:uiPriority w:val="0"/>
  </w:style>
  <w:style w:type="paragraph" w:customStyle="1" w:styleId="15">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6">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8324</Words>
  <Characters>8751</Characters>
  <Lines>0</Lines>
  <Paragraphs>0</Paragraphs>
  <TotalTime>3</TotalTime>
  <ScaleCrop>false</ScaleCrop>
  <LinksUpToDate>false</LinksUpToDate>
  <CharactersWithSpaces>9975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付霞</cp:lastModifiedBy>
  <cp:lastPrinted>2023-11-08T03:29:00Z</cp:lastPrinted>
  <dcterms:modified xsi:type="dcterms:W3CDTF">2023-11-08T05:18:58Z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AF9941E6D127470AA2C8197B59D4EAFD_13</vt:lpwstr>
  </property>
</Properties>
</file>