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60288"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60288;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0"/>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Borders>
            <w:top w:val="none" w:sz="0" w:space="0"/>
            <w:left w:val="none" w:sz="0" w:space="0"/>
            <w:bottom w:val="none" w:sz="0" w:space="0"/>
            <w:right w:val="none" w:sz="0" w:space="0"/>
          </w:pgBorders>
          <w:cols w:space="720" w:num="1"/>
          <w:docGrid w:linePitch="326" w:charSpace="0"/>
        </w:sectPr>
      </w:pPr>
    </w:p>
    <w:bookmarkEnd w:id="0"/>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3</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ascii="仿宋_GB2312" w:hAnsi="宋体" w:eastAsia="仿宋_GB2312" w:cs="仿宋"/>
          <w:b/>
          <w:bCs/>
          <w:color w:val="auto"/>
          <w:sz w:val="28"/>
          <w:szCs w:val="28"/>
        </w:rPr>
      </w:pPr>
      <w:r>
        <w:rPr>
          <w:rFonts w:hint="eastAsia" w:ascii="仿宋_GB2312" w:hAnsi="宋体" w:eastAsia="仿宋_GB2312" w:cs="仿宋"/>
          <w:b/>
          <w:bCs/>
          <w:color w:val="auto"/>
          <w:sz w:val="28"/>
          <w:szCs w:val="28"/>
        </w:rPr>
        <w:t>附件</w:t>
      </w:r>
      <w:r>
        <w:rPr>
          <w:rFonts w:hint="eastAsia" w:ascii="仿宋_GB2312" w:hAnsi="宋体" w:eastAsia="仿宋_GB2312" w:cs="仿宋"/>
          <w:b/>
          <w:bCs/>
          <w:color w:val="auto"/>
          <w:sz w:val="28"/>
          <w:szCs w:val="28"/>
          <w:lang w:eastAsia="zh-CN"/>
        </w:rPr>
        <w:t>五</w:t>
      </w:r>
      <w:r>
        <w:rPr>
          <w:rFonts w:hint="eastAsia" w:ascii="仿宋_GB2312" w:hAnsi="宋体" w:eastAsia="仿宋_GB2312" w:cs="仿宋"/>
          <w:b/>
          <w:bCs/>
          <w:color w:val="auto"/>
          <w:sz w:val="28"/>
          <w:szCs w:val="28"/>
        </w:rPr>
        <w:t>：</w:t>
      </w:r>
    </w:p>
    <w:p>
      <w:pPr>
        <w:pStyle w:val="6"/>
        <w:spacing w:line="560" w:lineRule="exact"/>
        <w:jc w:val="center"/>
        <w:rPr>
          <w:rFonts w:ascii="华文中宋" w:hAnsi="华文中宋" w:eastAsia="华文中宋" w:cs="宋体"/>
          <w:bCs/>
          <w:color w:val="FF0000"/>
          <w:w w:val="80"/>
          <w:sz w:val="56"/>
          <w:szCs w:val="56"/>
        </w:rPr>
      </w:pPr>
      <w:r>
        <w:rPr>
          <w:rFonts w:hint="eastAsia" w:ascii="华文中宋" w:hAnsi="华文中宋" w:eastAsia="华文中宋" w:cs="宋体"/>
          <w:bCs/>
          <w:color w:val="FF0000"/>
          <w:w w:val="80"/>
          <w:sz w:val="56"/>
          <w:szCs w:val="56"/>
        </w:rPr>
        <w:t>首钢长治钢铁有限公司</w:t>
      </w:r>
    </w:p>
    <w:p>
      <w:pPr>
        <w:pStyle w:val="6"/>
        <w:spacing w:line="560" w:lineRule="exact"/>
        <w:jc w:val="center"/>
        <w:rPr>
          <w:rFonts w:ascii="华文中宋" w:hAnsi="华文中宋" w:eastAsia="华文中宋" w:cs="宋体"/>
          <w:bCs/>
          <w:color w:val="FF0000"/>
          <w:w w:val="80"/>
          <w:sz w:val="56"/>
          <w:szCs w:val="56"/>
        </w:rPr>
      </w:pPr>
      <w:r>
        <w:rPr>
          <w:rFonts w:hint="eastAsia" w:ascii="华文中宋" w:hAnsi="华文中宋" w:eastAsia="华文中宋" w:cs="宋体"/>
          <w:bCs/>
          <w:color w:val="FF0000"/>
          <w:w w:val="80"/>
          <w:sz w:val="56"/>
          <w:szCs w:val="56"/>
        </w:rPr>
        <w:t>法务审计处文件</w:t>
      </w:r>
    </w:p>
    <w:p>
      <w:pPr>
        <w:pStyle w:val="6"/>
        <w:spacing w:line="560" w:lineRule="exact"/>
        <w:jc w:val="center"/>
        <w:rPr>
          <w:rFonts w:ascii="仿宋_GB2312" w:hAnsi="宋体" w:eastAsia="仿宋_GB2312" w:cs="宋体"/>
          <w:color w:val="auto"/>
          <w:sz w:val="32"/>
        </w:rPr>
      </w:pPr>
      <w:bookmarkStart w:id="1" w:name="string1"/>
      <w:bookmarkEnd w:id="1"/>
      <w:bookmarkStart w:id="2" w:name="文号"/>
      <w:r>
        <w:rPr>
          <w:rFonts w:hint="eastAsia" w:ascii="仿宋_GB2312" w:hAnsi="宋体" w:eastAsia="仿宋_GB2312" w:cs="宋体"/>
          <w:color w:val="auto"/>
          <w:sz w:val="32"/>
        </w:rPr>
        <w:t>长钢法审发〔2019〕76号</w:t>
      </w:r>
      <w:bookmarkEnd w:id="2"/>
    </w:p>
    <w:p>
      <w:pPr>
        <w:pStyle w:val="6"/>
        <w:spacing w:line="560" w:lineRule="exact"/>
        <w:jc w:val="center"/>
        <w:rPr>
          <w:rFonts w:hAnsi="宋体" w:cs="宋体"/>
          <w:b/>
          <w:bCs/>
          <w:color w:val="auto"/>
          <w:sz w:val="36"/>
        </w:rPr>
      </w:pPr>
      <w:r>
        <w:rPr>
          <w:color w:val="auto"/>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202565</wp:posOffset>
                </wp:positionV>
                <wp:extent cx="5485765" cy="635"/>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85765" cy="63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8.95pt;margin-top:15.95pt;height:0.05pt;width:431.95pt;z-index:251659264;mso-width-relative:page;mso-height-relative:page;" filled="f" stroked="t" coordsize="21600,21600" o:gfxdata="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iVxi2gAAAAkBAAAPAAAAAAAAAAEAIAAAACIAAABkcnMvZG93bnJldi54bWxQSwECFAAU&#10;AAAACACHTuJAQebSQu8BAAC9AwAADgAAAAAAAAABACAAAAApAQAAZHJzL2Uyb0RvYy54bWxQSwUG&#10;AAAAAAYABgBZAQAAigUAAAAA&#10;">
                <v:fill on="f" focussize="0,0"/>
                <v:stroke weight="1.5pt" color="#FF0000" joinstyle="round"/>
                <v:imagedata o:title=""/>
                <o:lock v:ext="edit" aspectratio="f"/>
              </v:line>
            </w:pict>
          </mc:Fallback>
        </mc:AlternateContent>
      </w:r>
    </w:p>
    <w:p>
      <w:pPr>
        <w:pStyle w:val="6"/>
        <w:spacing w:line="560" w:lineRule="exact"/>
        <w:jc w:val="center"/>
        <w:rPr>
          <w:rFonts w:hAnsi="宋体" w:cs="宋体"/>
          <w:b/>
          <w:bCs/>
          <w:color w:val="auto"/>
          <w:sz w:val="44"/>
          <w:szCs w:val="44"/>
        </w:rPr>
      </w:pPr>
      <w:bookmarkStart w:id="3" w:name="发文标题"/>
      <w:r>
        <w:rPr>
          <w:rFonts w:hint="eastAsia" w:hAnsi="宋体" w:cs="宋体"/>
          <w:b/>
          <w:bCs/>
          <w:color w:val="auto"/>
          <w:sz w:val="44"/>
          <w:szCs w:val="44"/>
        </w:rPr>
        <w:t>法务审计处关于规范投标单位资质审核等有关事项的通知</w:t>
      </w:r>
      <w:bookmarkEnd w:id="3"/>
      <w:bookmarkStart w:id="4" w:name="subject"/>
      <w:bookmarkEnd w:id="4"/>
    </w:p>
    <w:p>
      <w:pPr>
        <w:widowControl/>
        <w:spacing w:line="500" w:lineRule="exact"/>
        <w:jc w:val="left"/>
        <w:rPr>
          <w:rFonts w:ascii="仿宋_GB2312" w:eastAsia="仿宋_GB2312"/>
          <w:color w:val="auto"/>
          <w:sz w:val="32"/>
        </w:rPr>
      </w:pPr>
      <w:r>
        <w:rPr>
          <w:rFonts w:hint="eastAsia" w:ascii="仿宋_GB2312" w:eastAsia="仿宋_GB2312"/>
          <w:color w:val="auto"/>
          <w:sz w:val="32"/>
        </w:rPr>
        <w:t>公司</w:t>
      </w:r>
      <w:r>
        <w:rPr>
          <w:rFonts w:ascii="仿宋_GB2312" w:eastAsia="仿宋_GB2312"/>
          <w:color w:val="auto"/>
          <w:sz w:val="32"/>
        </w:rPr>
        <w:t>各</w:t>
      </w:r>
      <w:r>
        <w:rPr>
          <w:rFonts w:hint="eastAsia" w:ascii="仿宋_GB2312" w:eastAsia="仿宋_GB2312"/>
          <w:color w:val="auto"/>
          <w:sz w:val="32"/>
        </w:rPr>
        <w:t>相关</w:t>
      </w:r>
      <w:r>
        <w:rPr>
          <w:rFonts w:ascii="仿宋_GB2312" w:eastAsia="仿宋_GB2312"/>
          <w:color w:val="auto"/>
          <w:sz w:val="32"/>
        </w:rPr>
        <w:t>单位：</w:t>
      </w:r>
    </w:p>
    <w:p>
      <w:pPr>
        <w:widowControl/>
        <w:spacing w:line="500" w:lineRule="exact"/>
        <w:ind w:firstLine="660"/>
        <w:jc w:val="left"/>
        <w:rPr>
          <w:rFonts w:ascii="仿宋_GB2312" w:eastAsia="仿宋_GB2312"/>
          <w:color w:val="auto"/>
          <w:sz w:val="32"/>
        </w:rPr>
      </w:pPr>
      <w:r>
        <w:rPr>
          <w:rFonts w:hint="eastAsia" w:ascii="仿宋_GB2312" w:eastAsia="仿宋_GB2312"/>
          <w:color w:val="auto"/>
          <w:sz w:val="32"/>
          <w:szCs w:val="32"/>
        </w:rPr>
        <w:t>为进一步规范我公司招标（竞价）活动中的资质审核工作，</w:t>
      </w:r>
      <w:r>
        <w:rPr>
          <w:rFonts w:hint="eastAsia" w:ascii="仿宋_GB2312" w:eastAsia="仿宋_GB2312"/>
          <w:color w:val="auto"/>
          <w:sz w:val="32"/>
        </w:rPr>
        <w:t>切实消除资质审核隐患</w:t>
      </w:r>
      <w:r>
        <w:rPr>
          <w:rFonts w:hint="eastAsia" w:ascii="仿宋_GB2312" w:eastAsia="仿宋_GB2312"/>
          <w:color w:val="auto"/>
          <w:sz w:val="32"/>
          <w:szCs w:val="32"/>
        </w:rPr>
        <w:t>，</w:t>
      </w:r>
      <w:r>
        <w:rPr>
          <w:rFonts w:hint="eastAsia" w:ascii="仿宋_GB2312" w:eastAsia="仿宋_GB2312"/>
          <w:color w:val="auto"/>
          <w:sz w:val="32"/>
        </w:rPr>
        <w:t>进一步防范法律风险，构建公开公平公正的竞争秩序，维护公司合法权益，现就规范投标（竞价）人资质审核等有关事项通知如下：</w:t>
      </w:r>
    </w:p>
    <w:p>
      <w:pPr>
        <w:widowControl/>
        <w:spacing w:line="500" w:lineRule="exact"/>
        <w:ind w:firstLine="640"/>
        <w:jc w:val="left"/>
        <w:rPr>
          <w:rFonts w:ascii="仿宋_GB2312" w:eastAsia="仿宋_GB2312"/>
          <w:color w:val="auto"/>
          <w:sz w:val="32"/>
        </w:rPr>
      </w:pPr>
      <w:r>
        <w:rPr>
          <w:rFonts w:hint="eastAsia" w:ascii="仿宋_GB2312" w:eastAsia="仿宋_GB2312"/>
          <w:color w:val="auto"/>
          <w:sz w:val="32"/>
        </w:rPr>
        <w:t>一、招标（竞价）组织单位在发布的招标（竞价）文件或方案中，对投标（竞价）人的主体资格表述要客观公正合法合理。对投标（竞价）人所应具备的资质务必表述清晰明了便于操作。</w:t>
      </w:r>
    </w:p>
    <w:p>
      <w:pPr>
        <w:widowControl/>
        <w:spacing w:line="500" w:lineRule="exact"/>
        <w:ind w:firstLine="640"/>
        <w:jc w:val="left"/>
        <w:rPr>
          <w:rFonts w:ascii="仿宋_GB2312" w:eastAsia="仿宋_GB2312"/>
          <w:color w:val="auto"/>
          <w:sz w:val="32"/>
        </w:rPr>
      </w:pPr>
      <w:r>
        <w:rPr>
          <w:rFonts w:hint="eastAsia" w:ascii="仿宋_GB2312" w:eastAsia="仿宋_GB2312"/>
          <w:color w:val="auto"/>
          <w:sz w:val="32"/>
        </w:rPr>
        <w:t>二、采购中心招标办及招标（竞价）组织单位应按制度要求认真完成投标（竞价）人各类资质（原件）的预审工作，切实做好前期的风险控制。相关资质等必须要求携带原件。资质存疑时，应及时与专业部门沟通联系确认解决，不允许将存在问题的资质延续到开标当日。</w:t>
      </w:r>
    </w:p>
    <w:p>
      <w:pPr>
        <w:widowControl/>
        <w:spacing w:line="500" w:lineRule="exact"/>
        <w:ind w:firstLine="660"/>
        <w:jc w:val="left"/>
        <w:rPr>
          <w:rFonts w:ascii="仿宋_GB2312" w:eastAsia="仿宋_GB2312"/>
          <w:color w:val="auto"/>
          <w:sz w:val="32"/>
        </w:rPr>
      </w:pPr>
      <w:r>
        <w:rPr>
          <w:rFonts w:hint="eastAsia" w:ascii="仿宋_GB2312" w:eastAsia="仿宋_GB2312"/>
          <w:color w:val="auto"/>
          <w:sz w:val="32"/>
        </w:rPr>
        <w:t>三、参加投标（竞价）的单位必须提供加盖本单位行政印鉴的营业执照、专项资质、法人授权委托书。授权委托书除加盖投标（竞价）人行政印鉴外，法定代表人必须在授权委托书上签字</w:t>
      </w:r>
      <w:r>
        <w:rPr>
          <w:rFonts w:hint="eastAsia" w:ascii="仿宋_GB2312" w:eastAsia="仿宋_GB2312"/>
          <w:b/>
          <w:color w:val="auto"/>
          <w:sz w:val="32"/>
        </w:rPr>
        <w:t>并</w:t>
      </w:r>
      <w:r>
        <w:rPr>
          <w:rFonts w:hint="eastAsia" w:ascii="仿宋_GB2312" w:eastAsia="仿宋_GB2312"/>
          <w:color w:val="auto"/>
          <w:sz w:val="32"/>
        </w:rPr>
        <w:t>加盖法定代表人名章。不合要求者，不允许参加投标。</w:t>
      </w:r>
    </w:p>
    <w:p>
      <w:pPr>
        <w:widowControl/>
        <w:spacing w:line="500" w:lineRule="exact"/>
        <w:ind w:firstLine="660"/>
        <w:jc w:val="left"/>
        <w:rPr>
          <w:rFonts w:ascii="仿宋_GB2312" w:eastAsia="仿宋_GB2312"/>
          <w:color w:val="auto"/>
          <w:sz w:val="32"/>
        </w:rPr>
      </w:pPr>
      <w:r>
        <w:rPr>
          <w:rFonts w:hint="eastAsia" w:ascii="仿宋_GB2312" w:eastAsia="仿宋_GB2312"/>
          <w:color w:val="auto"/>
          <w:sz w:val="32"/>
        </w:rPr>
        <w:t>参加投标竞价授权委托书中的授权范围必须明确，授权期限最长为三个月。招标（竞价）文件附有授权委托书格式的，必须使用标准格式。</w:t>
      </w:r>
    </w:p>
    <w:p>
      <w:pPr>
        <w:widowControl/>
        <w:spacing w:line="500" w:lineRule="exact"/>
        <w:ind w:firstLine="660"/>
        <w:jc w:val="left"/>
        <w:rPr>
          <w:rFonts w:ascii="仿宋_GB2312" w:eastAsia="仿宋_GB2312"/>
          <w:color w:val="auto"/>
          <w:sz w:val="32"/>
        </w:rPr>
      </w:pPr>
      <w:r>
        <w:rPr>
          <w:rFonts w:hint="eastAsia" w:ascii="仿宋_GB2312" w:eastAsia="仿宋_GB2312"/>
          <w:color w:val="auto"/>
          <w:sz w:val="32"/>
        </w:rPr>
        <w:t>中标人（竞得人）在签订合同时，必须另行出具规范的授权委托书。</w:t>
      </w:r>
    </w:p>
    <w:p>
      <w:pPr>
        <w:widowControl/>
        <w:spacing w:line="500" w:lineRule="exact"/>
        <w:ind w:firstLine="640"/>
        <w:jc w:val="left"/>
        <w:rPr>
          <w:rFonts w:ascii="仿宋_GB2312" w:eastAsia="仿宋_GB2312"/>
          <w:color w:val="auto"/>
          <w:sz w:val="32"/>
        </w:rPr>
      </w:pPr>
      <w:r>
        <w:rPr>
          <w:rFonts w:hint="eastAsia" w:ascii="仿宋_GB2312" w:eastAsia="仿宋_GB2312"/>
          <w:color w:val="auto"/>
          <w:sz w:val="32"/>
        </w:rPr>
        <w:t>四、严厉禁止借用资质参加投标或竞价，严厉禁止以委托的形式借用资质规避监管。委托人应为签约人，应为合同的实际履行人。</w:t>
      </w:r>
    </w:p>
    <w:p>
      <w:pPr>
        <w:widowControl/>
        <w:spacing w:line="500" w:lineRule="exact"/>
        <w:ind w:firstLine="660"/>
        <w:jc w:val="left"/>
        <w:rPr>
          <w:rFonts w:ascii="仿宋_GB2312" w:eastAsia="仿宋_GB2312"/>
          <w:color w:val="auto"/>
          <w:sz w:val="32"/>
        </w:rPr>
      </w:pPr>
      <w:r>
        <w:rPr>
          <w:rFonts w:hint="eastAsia" w:ascii="仿宋_GB2312" w:eastAsia="仿宋_GB2312"/>
          <w:color w:val="auto"/>
          <w:sz w:val="32"/>
        </w:rPr>
        <w:t>五、招标（竞价）文件或方案中必须明确业经发现资质业绩等造假行为，投标（竞价）人的保证金将被全额没收。投标（竞价）人所有加盖的印鉴及签字，必须同在我公司客户资信库中留存的资料完全一致。造假者经核实并经公司同意，列入公司黑名单。</w:t>
      </w:r>
    </w:p>
    <w:p>
      <w:pPr>
        <w:widowControl/>
        <w:spacing w:line="500" w:lineRule="exact"/>
        <w:ind w:firstLine="640"/>
        <w:jc w:val="left"/>
        <w:rPr>
          <w:rFonts w:ascii="仿宋_GB2312" w:eastAsia="仿宋_GB2312"/>
          <w:color w:val="auto"/>
          <w:sz w:val="32"/>
        </w:rPr>
      </w:pPr>
      <w:r>
        <w:rPr>
          <w:rFonts w:hint="eastAsia" w:ascii="仿宋_GB2312" w:eastAsia="仿宋_GB2312"/>
          <w:color w:val="auto"/>
          <w:sz w:val="32"/>
        </w:rPr>
        <w:t>六、涉及环保手续需相关专业部门联合审查资质的竞价项目，竞价组织单位及招标办应提前告知相关专业部门，并预留出足够的资质审核时间，以便提高竞价效率。</w:t>
      </w:r>
    </w:p>
    <w:p>
      <w:pPr>
        <w:widowControl/>
        <w:spacing w:line="500" w:lineRule="exact"/>
        <w:ind w:firstLine="640"/>
        <w:jc w:val="left"/>
        <w:rPr>
          <w:rFonts w:ascii="仿宋_GB2312" w:eastAsia="仿宋_GB2312"/>
          <w:color w:val="auto"/>
          <w:sz w:val="32"/>
        </w:rPr>
      </w:pPr>
      <w:r>
        <w:rPr>
          <w:rFonts w:hint="eastAsia" w:ascii="仿宋_GB2312" w:eastAsia="仿宋_GB2312"/>
          <w:color w:val="auto"/>
          <w:sz w:val="32"/>
        </w:rPr>
        <w:t>七、采购中心招标办对与本通知有冲突、遗漏之处，立即按本通知要求修订完善《竞价管理办法》、《物资采购招投标管理办法》、</w:t>
      </w:r>
      <w:r>
        <w:rPr>
          <w:rFonts w:hint="eastAsia" w:ascii="仿宋_GB2312" w:hAnsi="Times New Roman" w:eastAsia="仿宋_GB2312" w:cs="Times New Roman"/>
          <w:color w:val="auto"/>
          <w:sz w:val="32"/>
        </w:rPr>
        <w:t>《建设工程招投标管理办法》</w:t>
      </w:r>
      <w:r>
        <w:rPr>
          <w:rFonts w:hint="eastAsia" w:ascii="仿宋_GB2312" w:eastAsia="仿宋_GB2312"/>
          <w:color w:val="auto"/>
          <w:sz w:val="32"/>
        </w:rPr>
        <w:t>。</w:t>
      </w:r>
    </w:p>
    <w:p>
      <w:pPr>
        <w:widowControl/>
        <w:spacing w:line="500" w:lineRule="exact"/>
        <w:ind w:firstLine="640" w:firstLineChars="200"/>
        <w:jc w:val="left"/>
        <w:rPr>
          <w:rFonts w:ascii="仿宋_GB2312" w:eastAsia="仿宋_GB2312"/>
          <w:color w:val="auto"/>
          <w:sz w:val="32"/>
        </w:rPr>
      </w:pPr>
      <w:r>
        <w:rPr>
          <w:rFonts w:hint="eastAsia" w:ascii="仿宋_GB2312" w:eastAsia="仿宋_GB2312"/>
          <w:color w:val="auto"/>
          <w:sz w:val="32"/>
        </w:rPr>
        <w:t>八、违反本通知规定的计入合同管理违规行为，情节严重者纳入公司合同管理专业考核。</w:t>
      </w:r>
    </w:p>
    <w:p>
      <w:pPr>
        <w:widowControl/>
        <w:spacing w:line="500" w:lineRule="exact"/>
        <w:ind w:firstLine="640" w:firstLineChars="200"/>
        <w:jc w:val="left"/>
        <w:rPr>
          <w:rFonts w:ascii="仿宋_GB2312" w:eastAsia="仿宋_GB2312"/>
          <w:color w:val="auto"/>
          <w:sz w:val="32"/>
        </w:rPr>
      </w:pPr>
      <w:r>
        <w:rPr>
          <w:rFonts w:hint="eastAsia" w:ascii="仿宋_GB2312" w:eastAsia="仿宋_GB2312"/>
          <w:color w:val="auto"/>
          <w:sz w:val="32"/>
        </w:rPr>
        <w:t>九、本通知自下发之日起执行。</w:t>
      </w:r>
    </w:p>
    <w:p>
      <w:pPr>
        <w:widowControl/>
        <w:spacing w:line="500" w:lineRule="exact"/>
        <w:ind w:firstLine="640" w:firstLineChars="200"/>
        <w:jc w:val="left"/>
        <w:rPr>
          <w:rFonts w:ascii="仿宋_GB2312" w:eastAsia="仿宋_GB2312"/>
          <w:color w:val="auto"/>
          <w:sz w:val="32"/>
        </w:rPr>
      </w:pPr>
    </w:p>
    <w:p>
      <w:pPr>
        <w:widowControl/>
        <w:spacing w:line="500" w:lineRule="exact"/>
        <w:ind w:firstLine="640" w:firstLineChars="200"/>
        <w:jc w:val="left"/>
        <w:rPr>
          <w:rFonts w:ascii="仿宋_GB2312" w:eastAsia="仿宋_GB2312"/>
          <w:color w:val="auto"/>
          <w:sz w:val="32"/>
        </w:rPr>
      </w:pPr>
    </w:p>
    <w:p>
      <w:pPr>
        <w:widowControl/>
        <w:spacing w:line="500" w:lineRule="exact"/>
        <w:ind w:firstLine="5760"/>
        <w:jc w:val="left"/>
        <w:rPr>
          <w:rFonts w:ascii="仿宋_GB2312" w:eastAsia="仿宋_GB2312"/>
          <w:color w:val="auto"/>
          <w:sz w:val="32"/>
        </w:rPr>
      </w:pPr>
      <w:r>
        <w:rPr>
          <w:rFonts w:ascii="仿宋_GB2312" w:eastAsia="仿宋_GB2312"/>
          <w:color w:val="auto"/>
          <w:sz w:val="32"/>
        </w:rPr>
        <w:t>法务审计处</w:t>
      </w:r>
    </w:p>
    <w:p>
      <w:pPr>
        <w:widowControl/>
        <w:spacing w:line="560" w:lineRule="exact"/>
        <w:ind w:firstLine="5296" w:firstLineChars="1655"/>
        <w:jc w:val="left"/>
        <w:rPr>
          <w:rFonts w:hint="eastAsia" w:ascii="仿宋_GB2312" w:eastAsia="仿宋_GB2312"/>
          <w:color w:val="auto"/>
          <w:sz w:val="32"/>
        </w:rPr>
        <w:sectPr>
          <w:pgSz w:w="11907" w:h="16840"/>
          <w:pgMar w:top="1361" w:right="1418" w:bottom="1361" w:left="1418" w:header="851" w:footer="964" w:gutter="284"/>
          <w:pgBorders>
            <w:top w:val="none" w:sz="0" w:space="0"/>
            <w:left w:val="none" w:sz="0" w:space="0"/>
            <w:bottom w:val="none" w:sz="0" w:space="0"/>
            <w:right w:val="none" w:sz="0" w:space="0"/>
          </w:pgBorders>
          <w:cols w:space="720" w:num="1"/>
          <w:titlePg/>
          <w:docGrid w:linePitch="271" w:charSpace="0"/>
        </w:sectPr>
      </w:pPr>
      <w:r>
        <w:rPr>
          <w:rFonts w:ascii="仿宋_GB2312" w:eastAsia="仿宋_GB2312"/>
          <w:color w:val="auto"/>
          <w:sz w:val="32"/>
        </w:rPr>
        <w:t xml:space="preserve"> 2019年</w:t>
      </w:r>
      <w:r>
        <w:rPr>
          <w:rFonts w:hint="eastAsia" w:ascii="仿宋_GB2312" w:eastAsia="仿宋_GB2312"/>
          <w:color w:val="auto"/>
          <w:sz w:val="32"/>
        </w:rPr>
        <w:t>8</w:t>
      </w:r>
      <w:r>
        <w:rPr>
          <w:rFonts w:ascii="仿宋_GB2312" w:eastAsia="仿宋_GB2312"/>
          <w:color w:val="auto"/>
          <w:sz w:val="32"/>
        </w:rPr>
        <w:t>月</w:t>
      </w:r>
      <w:r>
        <w:rPr>
          <w:rFonts w:hint="eastAsia" w:ascii="仿宋_GB2312" w:eastAsia="仿宋_GB2312"/>
          <w:color w:val="auto"/>
          <w:sz w:val="32"/>
        </w:rPr>
        <w:t>22</w:t>
      </w:r>
      <w:r>
        <w:rPr>
          <w:rFonts w:ascii="仿宋_GB2312" w:eastAsia="仿宋_GB2312"/>
          <w:color w:val="auto"/>
          <w:sz w:val="32"/>
        </w:rPr>
        <w:t xml:space="preserve">日 </w:t>
      </w:r>
      <w:bookmarkStart w:id="6" w:name="_GoBack"/>
      <w:bookmarkEnd w:id="6"/>
    </w:p>
    <w:p>
      <w:pPr>
        <w:widowControl/>
        <w:spacing w:line="560" w:lineRule="exact"/>
        <w:jc w:val="left"/>
        <w:rPr>
          <w:rFonts w:hint="eastAsia" w:ascii="仿宋_GB2312" w:eastAsia="仿宋_GB2312"/>
          <w:sz w:val="32"/>
          <w:lang w:val="en-US" w:eastAsia="zh-CN"/>
        </w:rPr>
      </w:pPr>
      <w:bookmarkStart w:id="5" w:name="End"/>
      <w:bookmarkEnd w:id="5"/>
    </w:p>
    <w:sectPr>
      <w:pgSz w:w="16840" w:h="11907" w:orient="landscape"/>
      <w:pgMar w:top="1418" w:right="1361" w:bottom="1418" w:left="1361" w:header="851" w:footer="964" w:gutter="284"/>
      <w:pgBorders>
        <w:top w:val="none" w:sz="0" w:space="0"/>
        <w:left w:val="none" w:sz="0" w:space="0"/>
        <w:bottom w:val="none" w:sz="0" w:space="0"/>
        <w:right w:val="none" w:sz="0" w:space="0"/>
      </w:pgBorders>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lvlText w:val="%1.%2 "/>
      <w:lvlJc w:val="left"/>
      <w:pPr>
        <w:tabs>
          <w:tab w:val="left" w:pos="567"/>
        </w:tabs>
        <w:ind w:left="567" w:hanging="567"/>
      </w:pPr>
      <w:rPr>
        <w:rFonts w:hint="eastAsia"/>
      </w:rPr>
    </w:lvl>
    <w:lvl w:ilvl="2" w:tentative="0">
      <w:start w:val="1"/>
      <w:numFmt w:val="decimal"/>
      <w:pStyle w:val="17"/>
      <w:lvlText w:val="%1.%2.%3 "/>
      <w:lvlJc w:val="left"/>
      <w:pPr>
        <w:tabs>
          <w:tab w:val="left" w:pos="709"/>
        </w:tabs>
        <w:ind w:left="709" w:hanging="709"/>
      </w:pPr>
      <w:rPr>
        <w:rFonts w:hint="eastAsia"/>
      </w:rPr>
    </w:lvl>
    <w:lvl w:ilvl="3" w:tentative="0">
      <w:start w:val="1"/>
      <w:numFmt w:val="decimal"/>
      <w:pStyle w:val="18"/>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8314D9"/>
    <w:rsid w:val="01800041"/>
    <w:rsid w:val="0276107A"/>
    <w:rsid w:val="04C57E4F"/>
    <w:rsid w:val="0639213D"/>
    <w:rsid w:val="0BC423EC"/>
    <w:rsid w:val="0BC7767F"/>
    <w:rsid w:val="0C6368FF"/>
    <w:rsid w:val="0DAC04DF"/>
    <w:rsid w:val="10C1008B"/>
    <w:rsid w:val="12CD3DBB"/>
    <w:rsid w:val="13934D27"/>
    <w:rsid w:val="148D0DA3"/>
    <w:rsid w:val="16924900"/>
    <w:rsid w:val="16EA4C89"/>
    <w:rsid w:val="17B90DF1"/>
    <w:rsid w:val="1A2226ED"/>
    <w:rsid w:val="1A6803B6"/>
    <w:rsid w:val="1C4F2D03"/>
    <w:rsid w:val="1D7C0366"/>
    <w:rsid w:val="1F276F59"/>
    <w:rsid w:val="21650E0A"/>
    <w:rsid w:val="217B04DD"/>
    <w:rsid w:val="21895F35"/>
    <w:rsid w:val="22A02A0C"/>
    <w:rsid w:val="25872EF6"/>
    <w:rsid w:val="262A4A8A"/>
    <w:rsid w:val="265247F2"/>
    <w:rsid w:val="27701EB2"/>
    <w:rsid w:val="2AEA6823"/>
    <w:rsid w:val="2B236C4F"/>
    <w:rsid w:val="2CB7386A"/>
    <w:rsid w:val="2D8E13C5"/>
    <w:rsid w:val="3597203C"/>
    <w:rsid w:val="39443A05"/>
    <w:rsid w:val="3A1E1869"/>
    <w:rsid w:val="3A2B02EC"/>
    <w:rsid w:val="3D361A26"/>
    <w:rsid w:val="3DCF27A1"/>
    <w:rsid w:val="3F6F5ED1"/>
    <w:rsid w:val="400B247B"/>
    <w:rsid w:val="44B63042"/>
    <w:rsid w:val="46B457D0"/>
    <w:rsid w:val="47261C3D"/>
    <w:rsid w:val="4C112FF3"/>
    <w:rsid w:val="4C852A0A"/>
    <w:rsid w:val="4DB538B9"/>
    <w:rsid w:val="4DD94EEC"/>
    <w:rsid w:val="4E1253E1"/>
    <w:rsid w:val="4F35529B"/>
    <w:rsid w:val="4F46214D"/>
    <w:rsid w:val="4FBF6451"/>
    <w:rsid w:val="50F1344C"/>
    <w:rsid w:val="51186D30"/>
    <w:rsid w:val="52171610"/>
    <w:rsid w:val="524A618B"/>
    <w:rsid w:val="54BC3F27"/>
    <w:rsid w:val="54E62189"/>
    <w:rsid w:val="575E3F95"/>
    <w:rsid w:val="579C7130"/>
    <w:rsid w:val="59D32AE1"/>
    <w:rsid w:val="5E063A79"/>
    <w:rsid w:val="5F352B54"/>
    <w:rsid w:val="5F592CA3"/>
    <w:rsid w:val="5F6302C6"/>
    <w:rsid w:val="5F9A2CBF"/>
    <w:rsid w:val="604F449B"/>
    <w:rsid w:val="60B45550"/>
    <w:rsid w:val="628569A6"/>
    <w:rsid w:val="63D66318"/>
    <w:rsid w:val="65D60782"/>
    <w:rsid w:val="67755B92"/>
    <w:rsid w:val="68303598"/>
    <w:rsid w:val="694D4756"/>
    <w:rsid w:val="697451FE"/>
    <w:rsid w:val="6A0D6DA2"/>
    <w:rsid w:val="6A9F07BD"/>
    <w:rsid w:val="6BF61274"/>
    <w:rsid w:val="6C3E71E0"/>
    <w:rsid w:val="6CEF242D"/>
    <w:rsid w:val="708A416E"/>
    <w:rsid w:val="7129774D"/>
    <w:rsid w:val="72201FFF"/>
    <w:rsid w:val="74E25B87"/>
    <w:rsid w:val="758D7B90"/>
    <w:rsid w:val="770C66B0"/>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qFormat/>
    <w:uiPriority w:val="0"/>
    <w:pPr>
      <w:spacing w:line="0" w:lineRule="atLeast"/>
    </w:pPr>
    <w:rPr>
      <w:sz w:val="30"/>
      <w:szCs w:val="20"/>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4"/>
      <w:szCs w:val="24"/>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paragraph" w:customStyle="1" w:styleId="14">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5">
    <w:name w:val="NormalCharacter"/>
    <w:semiHidden/>
    <w:qFormat/>
    <w:uiPriority w:val="0"/>
  </w:style>
  <w:style w:type="paragraph" w:customStyle="1" w:styleId="16">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7">
    <w:name w:val="cucd-3"/>
    <w:next w:val="18"/>
    <w:qFormat/>
    <w:uiPriority w:val="0"/>
    <w:pPr>
      <w:numPr>
        <w:ilvl w:val="2"/>
        <w:numId w:val="1"/>
      </w:num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18">
    <w:name w:val="cucd-4"/>
    <w:next w:val="16"/>
    <w:qFormat/>
    <w:uiPriority w:val="0"/>
    <w:pPr>
      <w:numPr>
        <w:ilvl w:val="3"/>
        <w:numId w:val="1"/>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9">
    <w:name w:val="纯文本1"/>
    <w:basedOn w:val="1"/>
    <w:qFormat/>
    <w:uiPriority w:val="1650"/>
    <w:rPr>
      <w:rFonts w:ascii="宋体" w:hAnsi="宋体" w:cs="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7627</Words>
  <Characters>7899</Characters>
  <Lines>0</Lines>
  <Paragraphs>0</Paragraphs>
  <TotalTime>11</TotalTime>
  <ScaleCrop>false</ScaleCrop>
  <LinksUpToDate>false</LinksUpToDate>
  <CharactersWithSpaces>8781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2023-07-19T03:20:00Z</cp:lastPrinted>
  <dcterms:modified xsi:type="dcterms:W3CDTF">2023-07-19T05:53:03Z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FE28BD53BFB0477E8F3A5355D90606A0_13</vt:lpwstr>
  </property>
</Properties>
</file>