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center"/>
        <w:rPr>
          <w:rFonts w:hint="eastAsia" w:ascii="仿宋_GB2312" w:eastAsia="仿宋_GB2312"/>
          <w:b/>
          <w:color w:val="auto"/>
          <w:kern w:val="0"/>
          <w:sz w:val="28"/>
          <w:szCs w:val="28"/>
        </w:rPr>
      </w:pPr>
      <w:r>
        <w:rPr>
          <w:sz w:val="28"/>
        </w:rPr>
        <mc:AlternateContent>
          <mc:Choice Requires="wps">
            <w:drawing>
              <wp:anchor distT="0" distB="0" distL="114300" distR="114300" simplePos="0" relativeHeight="251659264" behindDoc="0" locked="0" layoutInCell="1" hidden="1" allowOverlap="1">
                <wp:simplePos x="0" y="0"/>
                <wp:positionH relativeFrom="column">
                  <wp:posOffset>-1207770</wp:posOffset>
                </wp:positionH>
                <wp:positionV relativeFrom="paragraph">
                  <wp:posOffset>-737235</wp:posOffset>
                </wp:positionV>
                <wp:extent cx="63500" cy="63500"/>
                <wp:effectExtent l="6350" t="6350" r="6350" b="6350"/>
                <wp:wrapNone/>
                <wp:docPr id="1" name="KGD_Gobal1" descr="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style="position:absolute;left:0pt;margin-left:-95.1pt;margin-top:-58.05pt;height:5pt;width:5pt;visibility:hidden;z-index:251659264;v-text-anchor:middle;mso-width-relative:page;mso-height-relative:page;" fillcolor="#5B9BD5 [3204]" filled="t" stroked="t" coordsize="21600,21600" o:gfxdata="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F4NCGjcAAAADwEAAA8AAAAAAAAAAQAgAAAAIgAAAGRycy9kb3du&#10;cmV2LnhtbFBLAQIUABQAAAAIAIdO4kCG14TOiwUAANQIAAAOAAAAAAAAAAEAIAAAACsBAABkcnMv&#10;ZTJvRG9jLnhtbFBLBQYAAAAABgAGAFkBAAAoCQAAAAA=&#10;">
                <v:fill on="t" focussize="0,0"/>
                <v:stroke weight="1pt" color="#41719C [3204]" miterlimit="8" joinstyle="miter"/>
                <v:imagedata o:title=""/>
                <o:lock v:ext="edit" aspectratio="f"/>
              </v:rect>
            </w:pict>
          </mc:Fallback>
        </mc:AlternateContent>
      </w:r>
    </w:p>
    <w:p>
      <w:pPr>
        <w:spacing w:line="560" w:lineRule="exact"/>
        <w:jc w:val="center"/>
        <w:rPr>
          <w:rFonts w:hint="eastAsia" w:ascii="仿宋_GB2312" w:hAnsi="仿宋" w:eastAsia="仿宋_GB2312"/>
          <w:b/>
          <w:color w:val="auto"/>
          <w:sz w:val="32"/>
          <w:szCs w:val="32"/>
        </w:rPr>
      </w:pPr>
      <w:r>
        <w:rPr>
          <w:rFonts w:hint="eastAsia" w:ascii="仿宋_GB2312" w:hAnsi="仿宋" w:eastAsia="仿宋_GB2312"/>
          <w:b/>
          <w:color w:val="auto"/>
          <w:kern w:val="0"/>
          <w:sz w:val="32"/>
          <w:szCs w:val="32"/>
        </w:rPr>
        <w:t xml:space="preserve"> </w:t>
      </w:r>
    </w:p>
    <w:p>
      <w:pPr>
        <w:spacing w:line="380" w:lineRule="exact"/>
        <w:rPr>
          <w:rFonts w:ascii="仿宋_GB2312" w:hAnsi="Arial" w:eastAsia="仿宋_GB2312"/>
          <w:b/>
          <w:color w:val="auto"/>
          <w:sz w:val="28"/>
          <w:szCs w:val="28"/>
        </w:rPr>
      </w:pPr>
      <w:bookmarkStart w:id="0" w:name="_Toc65828643"/>
      <w:r>
        <w:rPr>
          <w:rFonts w:hint="eastAsia" w:ascii="仿宋_GB2312" w:hAnsi="Arial" w:eastAsia="仿宋_GB2312"/>
          <w:b/>
          <w:color w:val="auto"/>
          <w:sz w:val="28"/>
          <w:szCs w:val="28"/>
        </w:rPr>
        <w:t>附件2：</w:t>
      </w:r>
    </w:p>
    <w:p>
      <w:pPr>
        <w:pStyle w:val="10"/>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pPr>
        <w:spacing w:after="120" w:afterLines="50"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bookmarkEnd w:id="0"/>
    <w:p>
      <w:pPr>
        <w:widowControl/>
        <w:spacing w:line="480" w:lineRule="exact"/>
        <w:jc w:val="left"/>
        <w:rPr>
          <w:rFonts w:hint="default" w:ascii="仿宋_GB2312" w:hAnsi="Arial" w:eastAsia="仿宋_GB2312"/>
          <w:b/>
          <w:color w:val="auto"/>
          <w:sz w:val="28"/>
          <w:szCs w:val="28"/>
          <w:lang w:val="en-US" w:eastAsia="zh-CN"/>
        </w:rPr>
      </w:pPr>
      <w:r>
        <w:rPr>
          <w:rFonts w:hint="eastAsia" w:ascii="仿宋_GB2312" w:hAnsi="Arial" w:eastAsia="仿宋_GB2312"/>
          <w:b/>
          <w:color w:val="auto"/>
          <w:sz w:val="28"/>
          <w:szCs w:val="28"/>
        </w:rPr>
        <w:t>附件4：</w:t>
      </w:r>
      <w:r>
        <w:rPr>
          <w:rFonts w:hint="eastAsia" w:ascii="仿宋_GB2312" w:hAnsi="Arial" w:eastAsia="仿宋_GB2312"/>
          <w:b/>
          <w:color w:val="auto"/>
          <w:sz w:val="28"/>
          <w:szCs w:val="28"/>
          <w:lang w:val="en-US" w:eastAsia="zh-CN"/>
        </w:rPr>
        <w:t>技术方案要求</w:t>
      </w:r>
    </w:p>
    <w:p>
      <w:pPr>
        <w:pStyle w:val="4"/>
        <w:snapToGrid w:val="0"/>
        <w:spacing w:before="0" w:after="0" w:line="360" w:lineRule="auto"/>
        <w:ind w:firstLine="482" w:firstLineChars="200"/>
        <w:rPr>
          <w:rFonts w:ascii="Times New Roman" w:hAnsi="Times New Roman" w:eastAsia="宋体"/>
          <w:sz w:val="24"/>
          <w:szCs w:val="24"/>
        </w:rPr>
      </w:pPr>
      <w:r>
        <w:rPr>
          <w:rFonts w:hint="eastAsia" w:ascii="Times New Roman" w:hAnsi="Times New Roman" w:eastAsia="宋体"/>
          <w:sz w:val="24"/>
          <w:szCs w:val="24"/>
          <w:lang w:val="en-US" w:eastAsia="zh-CN"/>
        </w:rPr>
        <w:t>技术</w:t>
      </w:r>
      <w:r>
        <w:rPr>
          <w:rFonts w:ascii="Times New Roman" w:hAnsi="Times New Roman" w:eastAsia="宋体"/>
          <w:sz w:val="24"/>
          <w:szCs w:val="24"/>
        </w:rPr>
        <w:t>要求</w:t>
      </w:r>
    </w:p>
    <w:p>
      <w:pPr>
        <w:snapToGrid w:val="0"/>
        <w:spacing w:line="360" w:lineRule="auto"/>
        <w:ind w:firstLine="480" w:firstLineChars="200"/>
        <w:rPr>
          <w:rFonts w:hint="eastAsia"/>
          <w:sz w:val="24"/>
        </w:rPr>
      </w:pPr>
      <w:r>
        <w:rPr>
          <w:rFonts w:hint="eastAsia"/>
          <w:sz w:val="24"/>
        </w:rPr>
        <w:t>（1）飞灰预处理工艺影响研究：以长治首钢生物质能源有限公司所产焚烧飞灰为样本，明确飞灰理化性质。研究合适的预处理工艺，探索飞灰与生物质燃料等添加剂掺混及成型方法，确定最佳方法和最佳添加比例，获得不同飞灰预处理工序对飞灰性质的影响；</w:t>
      </w:r>
    </w:p>
    <w:p>
      <w:pPr>
        <w:snapToGrid w:val="0"/>
        <w:spacing w:line="360" w:lineRule="auto"/>
        <w:ind w:firstLine="480" w:firstLineChars="200"/>
        <w:rPr>
          <w:rFonts w:hint="eastAsia"/>
          <w:sz w:val="24"/>
        </w:rPr>
      </w:pPr>
      <w:r>
        <w:rPr>
          <w:rFonts w:hint="eastAsia"/>
          <w:sz w:val="24"/>
        </w:rPr>
        <w:t>（2）烧结协同处置影响研究：通过烧结实验等，考察飞灰不同添加比例、添加方式对烧结工艺的影响，包括烧结过程影响（包括但不限于烧结速度、烟气组分变化等），烧结矿品质影响等（包括但不限于强度、成品率等），获得烧结协同处置飞灰影响规律以及添加最佳方法与添加量边界；</w:t>
      </w:r>
    </w:p>
    <w:p>
      <w:pPr>
        <w:snapToGrid w:val="0"/>
        <w:spacing w:line="360" w:lineRule="auto"/>
        <w:ind w:firstLine="480" w:firstLineChars="200"/>
        <w:rPr>
          <w:rFonts w:hint="eastAsia"/>
          <w:sz w:val="24"/>
        </w:rPr>
      </w:pPr>
      <w:r>
        <w:rPr>
          <w:rFonts w:hint="eastAsia"/>
          <w:sz w:val="24"/>
        </w:rPr>
        <w:t>（3）环境安全性研究：通过烧结杯实验，对比钢铁炉窑处置焚烧飞灰分别采取水洗和无水洗工艺后飞灰所含重金属和各元素在不同工艺下制备过程中元素流向差异，形成具体分析报告；考察飞灰中重金属有害元素在协同处置过程中的赋存、迁移转化规律；考察飞灰中含氯物质在协同处置过程中分解和转化规律，同时对烧结产品的环境安全性进行测试，并形成针对性风险控制措施，明晰飞灰协同处置工艺的环境安全性；</w:t>
      </w:r>
    </w:p>
    <w:p>
      <w:pPr>
        <w:snapToGrid w:val="0"/>
        <w:spacing w:line="360" w:lineRule="auto"/>
        <w:ind w:firstLine="480" w:firstLineChars="200"/>
        <w:rPr>
          <w:sz w:val="24"/>
        </w:rPr>
      </w:pPr>
      <w:r>
        <w:rPr>
          <w:rFonts w:hint="eastAsia"/>
          <w:sz w:val="24"/>
        </w:rPr>
        <w:t>（4）现场验证研究：在前期的实验室研究基础上，依托长钢现有的烧结机，开展放大验证，并利用热力学软件优化技术参数，结合污染组分测试，优化添加比例等参数，形成完整的钢铁炉窑协同处置飞灰技术工艺，充分评估长治垃圾发电目前飞灰产量与长钢烧结能力的匹配度，根据实际研究过程中确定最佳匹配值，针对该项目产品的全成分进行分析，以长钢现有的240平烧结机，确定飞灰处理的工艺参数，形成完整的钢铁炉窑协同处置飞灰技术工艺路线。</w:t>
      </w:r>
    </w:p>
    <w:p>
      <w:pPr>
        <w:widowControl/>
        <w:spacing w:line="480" w:lineRule="exact"/>
        <w:jc w:val="left"/>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pStyle w:val="2"/>
        <w:rPr>
          <w:rFonts w:hint="eastAsia" w:ascii="仿宋_GB2312" w:hAnsi="Arial" w:eastAsia="仿宋_GB2312"/>
          <w:b/>
          <w:color w:val="auto"/>
          <w:sz w:val="28"/>
          <w:szCs w:val="28"/>
        </w:rPr>
      </w:pPr>
    </w:p>
    <w:p>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附件5：</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pPr>
        <w:rPr>
          <w:rFonts w:hint="eastAsia" w:ascii="仿宋" w:hAnsi="仿宋" w:eastAsia="仿宋" w:cs="仿宋"/>
          <w:color w:val="auto"/>
          <w:sz w:val="30"/>
          <w:szCs w:val="30"/>
        </w:rPr>
      </w:pPr>
    </w:p>
    <w:p>
      <w:pPr>
        <w:spacing w:line="520" w:lineRule="exac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lang w:val="en-US" w:eastAsia="zh-CN"/>
        </w:rPr>
        <w:t>长治首钢生物质能源有限公司</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u w:val="single"/>
          <w:lang w:val="en-US" w:eastAsia="zh-CN"/>
        </w:rPr>
        <w:t xml:space="preserve">        </w:t>
      </w:r>
      <w:r>
        <w:rPr>
          <w:rFonts w:hint="eastAsia" w:ascii="仿宋_GB2312" w:hAnsi="仿宋" w:eastAsia="仿宋_GB2312" w:cs="仿宋"/>
          <w:color w:val="auto"/>
          <w:sz w:val="30"/>
          <w:szCs w:val="30"/>
          <w:u w:val="single"/>
        </w:rPr>
        <w:t>（</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 xml:space="preserve">     </w:t>
      </w:r>
      <w:r>
        <w:rPr>
          <w:rFonts w:hint="eastAsia" w:ascii="仿宋_GB2312" w:hAnsi="仿宋" w:eastAsia="仿宋_GB2312" w:cs="仿宋"/>
          <w:color w:val="auto"/>
          <w:sz w:val="30"/>
          <w:szCs w:val="30"/>
        </w:rPr>
        <w:t>）招投标项目。</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w:t>
      </w:r>
      <w:r>
        <w:rPr>
          <w:rFonts w:hint="eastAsia" w:ascii="仿宋_GB2312" w:hAnsi="仿宋" w:eastAsia="仿宋_GB2312" w:cs="仿宋"/>
          <w:color w:val="auto"/>
          <w:sz w:val="30"/>
          <w:szCs w:val="30"/>
          <w:lang w:eastAsia="zh-CN"/>
        </w:rPr>
        <w:t>单位</w:t>
      </w:r>
      <w:r>
        <w:rPr>
          <w:rFonts w:hint="eastAsia" w:ascii="仿宋_GB2312" w:hAnsi="仿宋" w:eastAsia="仿宋_GB2312" w:cs="仿宋"/>
          <w:color w:val="auto"/>
          <w:sz w:val="30"/>
          <w:szCs w:val="30"/>
        </w:rPr>
        <w:t>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w:t>
      </w:r>
      <w:r>
        <w:rPr>
          <w:rFonts w:hint="eastAsia" w:ascii="仿宋_GB2312" w:hAnsi="仿宋" w:eastAsia="仿宋_GB2312" w:cs="仿宋"/>
          <w:color w:val="auto"/>
          <w:sz w:val="30"/>
          <w:szCs w:val="30"/>
          <w:lang w:eastAsia="zh-CN"/>
        </w:rPr>
        <w:t>单位</w:t>
      </w:r>
      <w:r>
        <w:rPr>
          <w:rFonts w:hint="eastAsia" w:ascii="仿宋_GB2312" w:hAnsi="仿宋" w:eastAsia="仿宋_GB2312" w:cs="仿宋"/>
          <w:color w:val="auto"/>
          <w:sz w:val="30"/>
          <w:szCs w:val="30"/>
        </w:rPr>
        <w:t>投标资料如有造假或我</w:t>
      </w:r>
      <w:r>
        <w:rPr>
          <w:rFonts w:hint="eastAsia" w:ascii="仿宋_GB2312" w:hAnsi="仿宋" w:eastAsia="仿宋_GB2312" w:cs="仿宋"/>
          <w:color w:val="auto"/>
          <w:sz w:val="30"/>
          <w:szCs w:val="30"/>
          <w:lang w:eastAsia="zh-CN"/>
        </w:rPr>
        <w:t>单位</w:t>
      </w:r>
      <w:r>
        <w:rPr>
          <w:rFonts w:hint="eastAsia" w:ascii="仿宋_GB2312" w:hAnsi="仿宋" w:eastAsia="仿宋_GB2312" w:cs="仿宋"/>
          <w:color w:val="auto"/>
          <w:sz w:val="30"/>
          <w:szCs w:val="30"/>
        </w:rPr>
        <w:t>陈述如有不实，我公司放弃就此提出任何权利主张。</w:t>
      </w:r>
    </w:p>
    <w:p>
      <w:pPr>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pPr>
        <w:ind w:firstLine="7200" w:firstLineChars="2400"/>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lang w:val="en-US" w:eastAsia="zh-CN"/>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jc w:val="left"/>
        <w:rPr>
          <w:rFonts w:hint="eastAsia" w:ascii="仿宋_GB2312" w:hAnsi="宋体" w:eastAsia="仿宋_GB2312" w:cs="仿宋"/>
          <w:b/>
          <w:bCs/>
          <w:color w:val="auto"/>
          <w:sz w:val="28"/>
          <w:szCs w:val="28"/>
        </w:rPr>
      </w:pPr>
    </w:p>
    <w:p>
      <w:pPr>
        <w:pStyle w:val="2"/>
        <w:rPr>
          <w:rFonts w:hint="eastAsia" w:ascii="仿宋_GB2312" w:eastAsia="仿宋_GB2312"/>
          <w:color w:val="auto"/>
          <w:sz w:val="32"/>
          <w:lang w:val="en-US" w:eastAsia="zh-CN"/>
        </w:rPr>
      </w:pPr>
      <w:bookmarkStart w:id="1" w:name="_GoBack"/>
      <w:bookmarkEnd w:id="1"/>
    </w:p>
    <w:sectPr>
      <w:headerReference r:id="rId3" w:type="default"/>
      <w:footerReference r:id="rId4" w:type="default"/>
      <w:pgSz w:w="11907" w:h="16840"/>
      <w:pgMar w:top="1361" w:right="1418" w:bottom="1361" w:left="1418" w:header="851" w:footer="964" w:gutter="284"/>
      <w:pgNumType w:fmt="numberInDash"/>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260" w:hanging="4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 w:name="DocumentID" w:val="{19225048-B9A3-4DEC-9583-AB0EBBF4B69C}"/>
    <w:docVar w:name="DocumentName" w:val="30312.007845115844"/>
  </w:docVars>
  <w:rsids>
    <w:rsidRoot w:val="68303598"/>
    <w:rsid w:val="00BA6BED"/>
    <w:rsid w:val="01800041"/>
    <w:rsid w:val="04AA1886"/>
    <w:rsid w:val="0639213D"/>
    <w:rsid w:val="079627FD"/>
    <w:rsid w:val="080350B2"/>
    <w:rsid w:val="09863834"/>
    <w:rsid w:val="0A526EAC"/>
    <w:rsid w:val="0BCD3D3C"/>
    <w:rsid w:val="0C3748C7"/>
    <w:rsid w:val="0C6368FF"/>
    <w:rsid w:val="0E0C78C4"/>
    <w:rsid w:val="10882B56"/>
    <w:rsid w:val="10C1008B"/>
    <w:rsid w:val="12CD3DBB"/>
    <w:rsid w:val="131977D2"/>
    <w:rsid w:val="13934D27"/>
    <w:rsid w:val="145B2022"/>
    <w:rsid w:val="148D0DA3"/>
    <w:rsid w:val="155D7E31"/>
    <w:rsid w:val="17B90DF1"/>
    <w:rsid w:val="1A372237"/>
    <w:rsid w:val="1A6803B6"/>
    <w:rsid w:val="1B3D65D6"/>
    <w:rsid w:val="1C4F2D03"/>
    <w:rsid w:val="217B04DD"/>
    <w:rsid w:val="22192750"/>
    <w:rsid w:val="26152511"/>
    <w:rsid w:val="27AA38C2"/>
    <w:rsid w:val="27D85B36"/>
    <w:rsid w:val="29427B25"/>
    <w:rsid w:val="2AEA6823"/>
    <w:rsid w:val="2B236C4F"/>
    <w:rsid w:val="2B694EFB"/>
    <w:rsid w:val="2B8B5AE1"/>
    <w:rsid w:val="2C812515"/>
    <w:rsid w:val="2CB7386A"/>
    <w:rsid w:val="2E163635"/>
    <w:rsid w:val="31DE74B4"/>
    <w:rsid w:val="36733300"/>
    <w:rsid w:val="37C50B43"/>
    <w:rsid w:val="38E01E11"/>
    <w:rsid w:val="397D20D6"/>
    <w:rsid w:val="39D65147"/>
    <w:rsid w:val="3A2B02EC"/>
    <w:rsid w:val="3BAE04C6"/>
    <w:rsid w:val="3D361A26"/>
    <w:rsid w:val="3F6F5ED1"/>
    <w:rsid w:val="400B247B"/>
    <w:rsid w:val="451A3FF5"/>
    <w:rsid w:val="45E65CFF"/>
    <w:rsid w:val="46AB13C4"/>
    <w:rsid w:val="46B457D0"/>
    <w:rsid w:val="46BD2A80"/>
    <w:rsid w:val="47261C3D"/>
    <w:rsid w:val="47A25AB6"/>
    <w:rsid w:val="484839DD"/>
    <w:rsid w:val="4AC663AF"/>
    <w:rsid w:val="4C112FF3"/>
    <w:rsid w:val="4C852A0A"/>
    <w:rsid w:val="4DB538B9"/>
    <w:rsid w:val="4DD94EEC"/>
    <w:rsid w:val="4E1253E1"/>
    <w:rsid w:val="4E2D0157"/>
    <w:rsid w:val="4FBF6451"/>
    <w:rsid w:val="50F1344C"/>
    <w:rsid w:val="51186D30"/>
    <w:rsid w:val="52171610"/>
    <w:rsid w:val="526E0E33"/>
    <w:rsid w:val="53502C05"/>
    <w:rsid w:val="53856010"/>
    <w:rsid w:val="54BC3F27"/>
    <w:rsid w:val="54E62189"/>
    <w:rsid w:val="54F3202F"/>
    <w:rsid w:val="550078B8"/>
    <w:rsid w:val="575E3F95"/>
    <w:rsid w:val="57D01585"/>
    <w:rsid w:val="592E607D"/>
    <w:rsid w:val="59D32AE1"/>
    <w:rsid w:val="5E063A79"/>
    <w:rsid w:val="5E1E1C77"/>
    <w:rsid w:val="5F6302C6"/>
    <w:rsid w:val="604F449B"/>
    <w:rsid w:val="608C20B0"/>
    <w:rsid w:val="60B45550"/>
    <w:rsid w:val="61BD26A9"/>
    <w:rsid w:val="623B5889"/>
    <w:rsid w:val="63D66318"/>
    <w:rsid w:val="65D60782"/>
    <w:rsid w:val="66054574"/>
    <w:rsid w:val="670C0910"/>
    <w:rsid w:val="67755B92"/>
    <w:rsid w:val="68303598"/>
    <w:rsid w:val="683800F9"/>
    <w:rsid w:val="690211E4"/>
    <w:rsid w:val="694D4756"/>
    <w:rsid w:val="6A9F07BD"/>
    <w:rsid w:val="6C3E71E0"/>
    <w:rsid w:val="6CEF242D"/>
    <w:rsid w:val="6D6A56EA"/>
    <w:rsid w:val="7129774D"/>
    <w:rsid w:val="72201FFF"/>
    <w:rsid w:val="74E25B87"/>
    <w:rsid w:val="7572435F"/>
    <w:rsid w:val="76FC7B94"/>
    <w:rsid w:val="770C66B0"/>
    <w:rsid w:val="77432A7E"/>
    <w:rsid w:val="79947F1D"/>
    <w:rsid w:val="79D7465B"/>
    <w:rsid w:val="7A1D522E"/>
    <w:rsid w:val="7B0E458E"/>
    <w:rsid w:val="7DCE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5">
    <w:name w:val="Normal Indent"/>
    <w:basedOn w:val="1"/>
    <w:qFormat/>
    <w:uiPriority w:val="0"/>
    <w:pPr>
      <w:ind w:firstLine="420"/>
    </w:pPr>
    <w:rPr>
      <w:szCs w:val="20"/>
    </w:rPr>
  </w:style>
  <w:style w:type="paragraph" w:styleId="6">
    <w:name w:val="Body Text"/>
    <w:basedOn w:val="1"/>
    <w:qFormat/>
    <w:uiPriority w:val="0"/>
    <w:pPr>
      <w:spacing w:line="0" w:lineRule="atLeast"/>
    </w:pPr>
    <w:rPr>
      <w:sz w:val="30"/>
      <w:szCs w:val="20"/>
    </w:rPr>
  </w:style>
  <w:style w:type="paragraph" w:styleId="7">
    <w:name w:val="Plain Text"/>
    <w:basedOn w:val="1"/>
    <w:qFormat/>
    <w:uiPriority w:val="0"/>
    <w:rPr>
      <w:rFonts w:ascii="宋体" w:hAnsi="Courier New"/>
      <w:szCs w:val="20"/>
    </w:rPr>
  </w:style>
  <w:style w:type="paragraph" w:styleId="8">
    <w:name w:val="footer"/>
    <w:basedOn w:val="1"/>
    <w:qFormat/>
    <w:uiPriority w:val="0"/>
    <w:pPr>
      <w:widowControl/>
      <w:tabs>
        <w:tab w:val="center" w:pos="4153"/>
        <w:tab w:val="right" w:pos="8306"/>
      </w:tabs>
      <w:snapToGrid w:val="0"/>
      <w:jc w:val="left"/>
    </w:pPr>
    <w:rPr>
      <w:kern w:val="0"/>
      <w:sz w:val="18"/>
      <w:szCs w:val="20"/>
    </w:rPr>
  </w:style>
  <w:style w:type="paragraph" w:styleId="9">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0">
    <w:name w:val="footnote text"/>
    <w:basedOn w:val="1"/>
    <w:qFormat/>
    <w:uiPriority w:val="0"/>
    <w:pPr>
      <w:snapToGrid w:val="0"/>
      <w:jc w:val="left"/>
    </w:pPr>
    <w:rPr>
      <w:sz w:val="18"/>
      <w:szCs w:val="18"/>
    </w:rPr>
  </w:style>
  <w:style w:type="character" w:styleId="13">
    <w:name w:val="page number"/>
    <w:basedOn w:val="12"/>
    <w:qFormat/>
    <w:uiPriority w:val="0"/>
  </w:style>
  <w:style w:type="character" w:customStyle="1" w:styleId="14">
    <w:name w:val="NormalCharacter"/>
    <w:semiHidden/>
    <w:qFormat/>
    <w:uiPriority w:val="0"/>
  </w:style>
  <w:style w:type="paragraph" w:customStyle="1" w:styleId="15">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7131</Words>
  <Characters>7377</Characters>
  <Lines>0</Lines>
  <Paragraphs>0</Paragraphs>
  <TotalTime>0</TotalTime>
  <ScaleCrop>false</ScaleCrop>
  <LinksUpToDate>false</LinksUpToDate>
  <CharactersWithSpaces>8569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赵丽</cp:lastModifiedBy>
  <cp:lastPrinted>2023-06-16T08:35:00Z</cp:lastPrinted>
  <dcterms:modified xsi:type="dcterms:W3CDTF">2023-06-19T02:36:42Z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1E962EE187A44C238963DC86C06BB06A</vt:lpwstr>
  </property>
</Properties>
</file>