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eastAsia="仿宋_GB2312"/>
          <w:b/>
          <w:color w:val="auto"/>
          <w:kern w:val="0"/>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p>
    <w:p>
      <w:pPr>
        <w:spacing w:line="560" w:lineRule="exact"/>
        <w:jc w:val="center"/>
        <w:rPr>
          <w:rFonts w:hint="eastAsia" w:ascii="仿宋_GB2312" w:hAnsi="仿宋" w:eastAsia="仿宋_GB2312"/>
          <w:b/>
          <w:color w:val="auto"/>
          <w:sz w:val="32"/>
          <w:szCs w:val="32"/>
        </w:rPr>
      </w:pPr>
      <w:r>
        <w:rPr>
          <w:rFonts w:hint="eastAsia" w:ascii="仿宋_GB2312" w:hAnsi="仿宋" w:eastAsia="仿宋_GB2312"/>
          <w:b/>
          <w:color w:val="auto"/>
          <w:kern w:val="0"/>
          <w:sz w:val="32"/>
          <w:szCs w:val="32"/>
        </w:rPr>
        <w:t xml:space="preserve"> </w:t>
      </w:r>
    </w:p>
    <w:p>
      <w:pPr>
        <w:spacing w:line="380" w:lineRule="exact"/>
        <w:rPr>
          <w:rFonts w:ascii="仿宋_GB2312" w:hAnsi="Arial" w:eastAsia="仿宋_GB2312"/>
          <w:b/>
          <w:color w:val="auto"/>
          <w:sz w:val="28"/>
          <w:szCs w:val="28"/>
          <w:highlight w:val="none"/>
        </w:rPr>
      </w:pPr>
      <w:bookmarkStart w:id="0" w:name="_Toc65828643"/>
      <w:r>
        <w:rPr>
          <w:rFonts w:hint="eastAsia" w:ascii="仿宋_GB2312" w:hAnsi="Arial" w:eastAsia="仿宋_GB2312"/>
          <w:b/>
          <w:color w:val="auto"/>
          <w:sz w:val="28"/>
          <w:szCs w:val="28"/>
          <w:highlight w:val="none"/>
        </w:rPr>
        <w:t>附件2：</w:t>
      </w:r>
    </w:p>
    <w:p>
      <w:pPr>
        <w:pStyle w:val="11"/>
        <w:spacing w:line="500" w:lineRule="exact"/>
        <w:jc w:val="center"/>
        <w:rPr>
          <w:rFonts w:ascii="方正小标宋简体" w:eastAsia="方正小标宋简体"/>
          <w:b/>
          <w:color w:val="auto"/>
          <w:sz w:val="44"/>
          <w:szCs w:val="44"/>
          <w:highlight w:val="none"/>
        </w:rPr>
      </w:pPr>
      <w:r>
        <w:rPr>
          <w:rFonts w:hint="eastAsia" w:ascii="方正小标宋简体" w:eastAsia="方正小标宋简体"/>
          <w:b/>
          <w:color w:val="auto"/>
          <w:sz w:val="44"/>
          <w:szCs w:val="44"/>
          <w:highlight w:val="none"/>
        </w:rPr>
        <w:t>授</w:t>
      </w:r>
      <w:r>
        <w:rPr>
          <w:rFonts w:ascii="方正小标宋简体" w:eastAsia="方正小标宋简体"/>
          <w:b/>
          <w:color w:val="auto"/>
          <w:sz w:val="44"/>
          <w:szCs w:val="44"/>
          <w:highlight w:val="none"/>
        </w:rPr>
        <w:t xml:space="preserve"> </w:t>
      </w:r>
      <w:r>
        <w:rPr>
          <w:rFonts w:hint="eastAsia" w:ascii="方正小标宋简体" w:eastAsia="方正小标宋简体"/>
          <w:b/>
          <w:color w:val="auto"/>
          <w:sz w:val="44"/>
          <w:szCs w:val="44"/>
          <w:highlight w:val="none"/>
        </w:rPr>
        <w:t>权</w:t>
      </w:r>
      <w:r>
        <w:rPr>
          <w:rFonts w:ascii="方正小标宋简体" w:eastAsia="方正小标宋简体"/>
          <w:b/>
          <w:color w:val="auto"/>
          <w:sz w:val="44"/>
          <w:szCs w:val="44"/>
          <w:highlight w:val="none"/>
        </w:rPr>
        <w:t xml:space="preserve"> </w:t>
      </w:r>
      <w:r>
        <w:rPr>
          <w:rFonts w:hint="eastAsia" w:ascii="方正小标宋简体" w:eastAsia="方正小标宋简体"/>
          <w:b/>
          <w:color w:val="auto"/>
          <w:sz w:val="44"/>
          <w:szCs w:val="44"/>
          <w:highlight w:val="none"/>
        </w:rPr>
        <w:t>委</w:t>
      </w:r>
      <w:r>
        <w:rPr>
          <w:rFonts w:ascii="方正小标宋简体" w:eastAsia="方正小标宋简体"/>
          <w:b/>
          <w:color w:val="auto"/>
          <w:sz w:val="44"/>
          <w:szCs w:val="44"/>
          <w:highlight w:val="none"/>
        </w:rPr>
        <w:t xml:space="preserve"> </w:t>
      </w:r>
      <w:r>
        <w:rPr>
          <w:rFonts w:hint="eastAsia" w:ascii="方正小标宋简体" w:eastAsia="方正小标宋简体"/>
          <w:b/>
          <w:color w:val="auto"/>
          <w:sz w:val="44"/>
          <w:szCs w:val="44"/>
          <w:highlight w:val="none"/>
        </w:rPr>
        <w:t>托</w:t>
      </w:r>
      <w:r>
        <w:rPr>
          <w:rFonts w:ascii="方正小标宋简体" w:eastAsia="方正小标宋简体"/>
          <w:b/>
          <w:color w:val="auto"/>
          <w:sz w:val="44"/>
          <w:szCs w:val="44"/>
          <w:highlight w:val="none"/>
        </w:rPr>
        <w:t xml:space="preserve"> </w:t>
      </w:r>
      <w:r>
        <w:rPr>
          <w:rFonts w:hint="eastAsia" w:ascii="方正小标宋简体" w:eastAsia="方正小标宋简体"/>
          <w:b/>
          <w:color w:val="auto"/>
          <w:sz w:val="44"/>
          <w:szCs w:val="44"/>
          <w:highlight w:val="none"/>
        </w:rPr>
        <w:t>书</w:t>
      </w:r>
    </w:p>
    <w:p>
      <w:pPr>
        <w:spacing w:after="120" w:afterLines="50" w:line="500" w:lineRule="exact"/>
        <w:rPr>
          <w:rFonts w:ascii="仿宋_GB2312" w:eastAsia="仿宋_GB2312"/>
          <w:color w:val="auto"/>
          <w:sz w:val="30"/>
          <w:szCs w:val="30"/>
          <w:highlight w:val="none"/>
        </w:rPr>
      </w:pPr>
      <w:r>
        <w:rPr>
          <w:rFonts w:hint="eastAsia" w:ascii="仿宋_GB2312" w:hAnsi="宋体" w:eastAsia="仿宋_GB2312"/>
          <w:color w:val="auto"/>
          <w:sz w:val="28"/>
          <w:highlight w:val="none"/>
          <w:lang w:val="en-US" w:eastAsia="zh-CN"/>
        </w:rPr>
        <w:t>长治首钢生物质能源有限公司</w:t>
      </w:r>
      <w:r>
        <w:rPr>
          <w:rFonts w:hint="eastAsia" w:ascii="仿宋_GB2312" w:eastAsia="仿宋_GB2312"/>
          <w:color w:val="auto"/>
          <w:sz w:val="30"/>
          <w:szCs w:val="30"/>
          <w:highlight w:val="none"/>
        </w:rPr>
        <w:t>：</w:t>
      </w:r>
      <w:r>
        <w:rPr>
          <w:rFonts w:ascii="仿宋_GB2312" w:eastAsia="仿宋_GB2312"/>
          <w:color w:val="auto"/>
          <w:sz w:val="30"/>
          <w:szCs w:val="30"/>
          <w:highlight w:val="none"/>
        </w:rPr>
        <w:t xml:space="preserve">                                                                                                            </w:t>
      </w:r>
    </w:p>
    <w:p>
      <w:pPr>
        <w:widowControl/>
        <w:spacing w:before="100" w:beforeAutospacing="1" w:after="100" w:afterAutospacing="1" w:line="380" w:lineRule="exact"/>
        <w:ind w:firstLine="570"/>
        <w:jc w:val="left"/>
        <w:rPr>
          <w:rFonts w:ascii="宋体" w:cs="宋体"/>
          <w:color w:val="auto"/>
          <w:kern w:val="0"/>
          <w:highlight w:val="none"/>
        </w:rPr>
      </w:pPr>
      <w:r>
        <w:rPr>
          <w:rFonts w:hint="eastAsia" w:ascii="仿宋_GB2312" w:hAnsi="宋体" w:eastAsia="仿宋_GB2312" w:cs="宋体"/>
          <w:i/>
          <w:iCs/>
          <w:color w:val="auto"/>
          <w:kern w:val="0"/>
          <w:highlight w:val="none"/>
          <w:u w:val="single"/>
          <w:shd w:val="clear" w:color="auto" w:fill="E5E5E5"/>
        </w:rPr>
        <w:t>（单位名称）</w:t>
      </w:r>
      <w:r>
        <w:rPr>
          <w:rFonts w:ascii="仿宋_GB2312" w:hAnsi="宋体" w:eastAsia="仿宋_GB2312" w:cs="宋体"/>
          <w:i/>
          <w:iCs/>
          <w:color w:val="auto"/>
          <w:kern w:val="0"/>
          <w:highlight w:val="none"/>
          <w:u w:val="single"/>
          <w:shd w:val="clear" w:color="auto" w:fill="E5E5E5"/>
        </w:rPr>
        <w:t xml:space="preserve">     </w:t>
      </w:r>
      <w:r>
        <w:rPr>
          <w:rFonts w:hint="eastAsia" w:ascii="仿宋_GB2312" w:hAnsi="宋体" w:eastAsia="仿宋_GB2312" w:cs="宋体"/>
          <w:color w:val="auto"/>
          <w:kern w:val="0"/>
          <w:highlight w:val="none"/>
        </w:rPr>
        <w:t>是在中华人民共和国境内合法注册的企业，法定地址</w:t>
      </w:r>
      <w:r>
        <w:rPr>
          <w:rFonts w:hint="eastAsia" w:ascii="仿宋_GB2312" w:hAnsi="宋体" w:eastAsia="仿宋_GB2312" w:cs="宋体"/>
          <w:i/>
          <w:iCs/>
          <w:color w:val="auto"/>
          <w:kern w:val="0"/>
          <w:highlight w:val="none"/>
          <w:u w:val="single"/>
          <w:shd w:val="clear" w:color="auto" w:fill="E5E5E5"/>
        </w:rPr>
        <w:t>（营业执照上注明的地址）</w:t>
      </w:r>
      <w:r>
        <w:rPr>
          <w:rFonts w:hint="eastAsia" w:ascii="仿宋_GB2312" w:hAnsi="宋体" w:eastAsia="仿宋_GB2312" w:cs="宋体"/>
          <w:color w:val="auto"/>
          <w:kern w:val="0"/>
          <w:highlight w:val="none"/>
        </w:rPr>
        <w:t>，企业法人代码</w:t>
      </w:r>
      <w:r>
        <w:rPr>
          <w:rFonts w:hint="eastAsia" w:ascii="仿宋_GB2312" w:hAnsi="宋体" w:eastAsia="仿宋_GB2312" w:cs="宋体"/>
          <w:i/>
          <w:iCs/>
          <w:color w:val="auto"/>
          <w:kern w:val="0"/>
          <w:highlight w:val="none"/>
          <w:u w:val="single"/>
          <w:shd w:val="clear" w:color="auto" w:fill="E5E5E5"/>
        </w:rPr>
        <w:t>（法人代码）</w:t>
      </w:r>
      <w:r>
        <w:rPr>
          <w:rFonts w:hint="eastAsia" w:ascii="仿宋_GB2312" w:hAnsi="宋体" w:eastAsia="仿宋_GB2312" w:cs="宋体"/>
          <w:color w:val="auto"/>
          <w:kern w:val="0"/>
          <w:highlight w:val="none"/>
        </w:rPr>
        <w:t>，主要生产地点设在</w:t>
      </w:r>
      <w:r>
        <w:rPr>
          <w:rFonts w:hint="eastAsia" w:ascii="仿宋_GB2312" w:hAnsi="宋体" w:eastAsia="仿宋_GB2312" w:cs="宋体"/>
          <w:i/>
          <w:iCs/>
          <w:color w:val="auto"/>
          <w:kern w:val="0"/>
          <w:highlight w:val="none"/>
          <w:u w:val="single"/>
          <w:shd w:val="clear" w:color="auto" w:fill="E5E5E5"/>
        </w:rPr>
        <w:t>（生产厂地址）</w:t>
      </w:r>
      <w:r>
        <w:rPr>
          <w:rFonts w:hint="eastAsia" w:ascii="仿宋_GB2312" w:hAnsi="宋体" w:eastAsia="仿宋_GB2312" w:cs="宋体"/>
          <w:color w:val="auto"/>
          <w:kern w:val="0"/>
          <w:highlight w:val="none"/>
        </w:rPr>
        <w:t>。</w:t>
      </w:r>
    </w:p>
    <w:p>
      <w:pPr>
        <w:spacing w:after="120" w:afterLines="50" w:line="380" w:lineRule="exact"/>
        <w:ind w:firstLine="630"/>
        <w:rPr>
          <w:rFonts w:ascii="仿宋_GB2312" w:eastAsia="仿宋_GB2312"/>
          <w:color w:val="auto"/>
          <w:highlight w:val="none"/>
        </w:rPr>
      </w:pPr>
      <w:r>
        <w:rPr>
          <w:rFonts w:hint="eastAsia" w:ascii="仿宋_GB2312" w:eastAsia="仿宋_GB2312"/>
          <w:color w:val="auto"/>
          <w:highlight w:val="none"/>
        </w:rPr>
        <w:t>兹委托我单位下列代理人代表我方在贵公司全权办理</w:t>
      </w:r>
      <w:r>
        <w:rPr>
          <w:rFonts w:ascii="仿宋_GB2312" w:eastAsia="仿宋_GB2312"/>
          <w:i/>
          <w:color w:val="auto"/>
          <w:highlight w:val="none"/>
          <w:u w:val="single"/>
        </w:rPr>
        <w:t xml:space="preserve"> </w:t>
      </w:r>
      <w:r>
        <w:rPr>
          <w:rFonts w:ascii="仿宋_GB2312" w:eastAsia="仿宋_GB2312"/>
          <w:i/>
          <w:color w:val="auto"/>
          <w:highlight w:val="none"/>
          <w:u w:val="single"/>
          <w:shd w:val="pct10" w:color="auto" w:fill="FFFFFF"/>
        </w:rPr>
        <w:t xml:space="preserve"> </w:t>
      </w:r>
      <w:r>
        <w:rPr>
          <w:rFonts w:hint="eastAsia" w:ascii="仿宋_GB2312" w:hAnsi="宋体" w:eastAsia="仿宋_GB2312" w:cs="宋体"/>
          <w:i/>
          <w:color w:val="auto"/>
          <w:kern w:val="0"/>
          <w:highlight w:val="none"/>
          <w:u w:val="single"/>
          <w:shd w:val="pct10" w:color="auto" w:fill="FFFFFF"/>
        </w:rPr>
        <w:t>采购项目名称、采购编号</w:t>
      </w:r>
      <w:r>
        <w:rPr>
          <w:rFonts w:hint="eastAsia" w:ascii="仿宋_GB2312" w:hAnsi="宋体" w:eastAsia="仿宋_GB2312" w:cs="宋体"/>
          <w:color w:val="auto"/>
          <w:kern w:val="0"/>
          <w:highlight w:val="none"/>
        </w:rPr>
        <w:t>的投标及合同签订事宜。具体为：</w:t>
      </w:r>
      <w:r>
        <w:rPr>
          <w:rFonts w:ascii="仿宋_GB2312" w:hAnsi="宋体" w:eastAsia="仿宋_GB2312" w:cs="宋体"/>
          <w:color w:val="auto"/>
          <w:kern w:val="0"/>
          <w:highlight w:val="none"/>
        </w:rPr>
        <w:t>1</w:t>
      </w:r>
      <w:r>
        <w:rPr>
          <w:rFonts w:hint="eastAsia" w:ascii="仿宋_GB2312" w:hAnsi="宋体" w:eastAsia="仿宋_GB2312" w:cs="宋体"/>
          <w:color w:val="auto"/>
          <w:kern w:val="0"/>
          <w:highlight w:val="none"/>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highlight w:val="none"/>
        </w:rPr>
        <w:t>2</w:t>
      </w:r>
      <w:r>
        <w:rPr>
          <w:rFonts w:hint="eastAsia" w:ascii="仿宋_GB2312" w:hAnsi="宋体" w:eastAsia="仿宋_GB2312" w:cs="宋体"/>
          <w:color w:val="auto"/>
          <w:kern w:val="0"/>
          <w:highlight w:val="none"/>
        </w:rPr>
        <w:t>、签订合同、办理结算、代为收款、处理有关合同履行过程中的一切事宜，并签署相关文件。</w:t>
      </w:r>
      <w:r>
        <w:rPr>
          <w:rFonts w:ascii="仿宋_GB2312" w:eastAsia="仿宋_GB2312"/>
          <w:color w:val="auto"/>
          <w:highlight w:val="none"/>
        </w:rPr>
        <w:t xml:space="preserve">                                                                           </w:t>
      </w:r>
    </w:p>
    <w:p>
      <w:pPr>
        <w:spacing w:after="120" w:afterLines="50" w:line="380" w:lineRule="exact"/>
        <w:rPr>
          <w:rFonts w:ascii="仿宋_GB2312" w:eastAsia="仿宋_GB2312"/>
          <w:color w:val="auto"/>
        </w:rPr>
      </w:pPr>
      <w:r>
        <w:rPr>
          <w:rFonts w:ascii="仿宋_GB2312" w:eastAsia="仿宋_GB2312"/>
          <w:color w:val="auto"/>
          <w:highlight w:val="none"/>
        </w:rPr>
        <w:t xml:space="preserve">    </w:t>
      </w:r>
      <w:r>
        <w:rPr>
          <w:rFonts w:hint="eastAsia" w:ascii="仿宋_GB2312" w:eastAsia="仿宋_GB2312"/>
          <w:color w:val="auto"/>
          <w:highlight w:val="none"/>
        </w:rPr>
        <w:t>该代理人在授权范围内依法所签的书面文件和从</w:t>
      </w:r>
      <w:r>
        <w:rPr>
          <w:rFonts w:hint="eastAsia" w:ascii="仿宋_GB2312" w:eastAsia="仿宋_GB2312"/>
          <w:color w:val="auto"/>
        </w:rPr>
        <w:t>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lang w:val="en-US" w:eastAsia="zh-CN"/>
        </w:rPr>
      </w:pPr>
      <w:r>
        <w:rPr>
          <w:rFonts w:hint="eastAsia" w:ascii="仿宋_GB2312" w:hAnsi="Arial" w:eastAsia="仿宋_GB2312"/>
          <w:b/>
          <w:color w:val="auto"/>
          <w:sz w:val="28"/>
          <w:szCs w:val="28"/>
        </w:rPr>
        <w:t>附件4：</w:t>
      </w:r>
      <w:r>
        <w:rPr>
          <w:rFonts w:hint="eastAsia" w:ascii="仿宋_GB2312" w:hAnsi="Arial" w:eastAsia="仿宋_GB2312"/>
          <w:b/>
          <w:color w:val="auto"/>
          <w:sz w:val="28"/>
          <w:szCs w:val="28"/>
          <w:lang w:val="en-US" w:eastAsia="zh-CN"/>
        </w:rPr>
        <w:t>厌氧罐检修施工方案要求</w:t>
      </w:r>
    </w:p>
    <w:p>
      <w:pPr>
        <w:widowControl/>
        <w:spacing w:line="480" w:lineRule="exact"/>
        <w:jc w:val="left"/>
        <w:rPr>
          <w:rFonts w:hint="eastAsia" w:ascii="仿宋_GB2312" w:hAnsi="仿宋_GB2312" w:eastAsia="仿宋_GB2312" w:cs="仿宋_GB2312"/>
          <w:b w:val="0"/>
          <w:bCs/>
          <w:color w:val="auto"/>
          <w:sz w:val="28"/>
          <w:szCs w:val="28"/>
          <w:lang w:val="en-US" w:eastAsia="zh-CN"/>
        </w:rPr>
      </w:pPr>
      <w:r>
        <w:rPr>
          <w:rFonts w:hint="eastAsia" w:ascii="仿宋_GB2312" w:hAnsi="Arial" w:eastAsia="仿宋_GB2312"/>
          <w:b/>
          <w:color w:val="auto"/>
          <w:sz w:val="28"/>
          <w:szCs w:val="28"/>
          <w:lang w:val="en-US" w:eastAsia="zh-CN"/>
        </w:rPr>
        <w:t xml:space="preserve">    </w:t>
      </w:r>
      <w:r>
        <w:rPr>
          <w:rFonts w:hint="eastAsia" w:ascii="仿宋_GB2312" w:hAnsi="仿宋_GB2312" w:eastAsia="仿宋_GB2312" w:cs="仿宋_GB2312"/>
          <w:b w:val="0"/>
          <w:bCs/>
          <w:color w:val="auto"/>
          <w:sz w:val="28"/>
          <w:szCs w:val="28"/>
          <w:lang w:val="en-US" w:eastAsia="zh-CN"/>
        </w:rPr>
        <w:t>对现有两个厌氧系统配套的内部设施进行大修，包括厌氧罐内现有设施的清淤，拆除以及更换设施的供货安装，确保厌氧系统的正常应用。在施工过程中提供安全防护措施，保证施工操作人员的安全。</w:t>
      </w:r>
    </w:p>
    <w:p>
      <w:pPr>
        <w:widowControl/>
        <w:spacing w:line="480" w:lineRule="exact"/>
        <w:jc w:val="left"/>
        <w:rPr>
          <w:rFonts w:hint="eastAsia" w:ascii="仿宋_GB2312" w:hAnsi="仿宋_GB2312" w:eastAsia="仿宋_GB2312" w:cs="仿宋_GB2312"/>
          <w:b w:val="0"/>
          <w:bCs/>
          <w:color w:val="auto"/>
          <w:sz w:val="28"/>
          <w:szCs w:val="28"/>
          <w:lang w:eastAsia="zh-CN"/>
        </w:rPr>
      </w:pP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rPr>
        <w:t>、主要技术参数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5" w:type="dxa"/>
            <w:gridSpan w:val="2"/>
            <w:noWrap w:val="0"/>
            <w:vAlign w:val="center"/>
          </w:tcPr>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            厌氧内部设备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noWrap w:val="0"/>
            <w:vAlign w:val="center"/>
          </w:tcPr>
          <w:p>
            <w:pPr>
              <w:widowControl/>
              <w:spacing w:line="480" w:lineRule="exact"/>
              <w:jc w:val="left"/>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处理水量</w:t>
            </w:r>
            <w:r>
              <w:rPr>
                <w:rFonts w:hint="eastAsia" w:ascii="仿宋_GB2312" w:hAnsi="仿宋_GB2312" w:eastAsia="仿宋_GB2312" w:cs="仿宋_GB2312"/>
                <w:b w:val="0"/>
                <w:bCs/>
                <w:color w:val="auto"/>
                <w:sz w:val="28"/>
                <w:szCs w:val="28"/>
                <w:lang w:eastAsia="zh-CN"/>
              </w:rPr>
              <w:t>（单套）</w:t>
            </w:r>
          </w:p>
        </w:tc>
        <w:tc>
          <w:tcPr>
            <w:tcW w:w="6079" w:type="dxa"/>
            <w:noWrap w:val="0"/>
            <w:vAlign w:val="center"/>
          </w:tcPr>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200</w:t>
            </w:r>
            <w:r>
              <w:rPr>
                <w:rFonts w:hint="eastAsia" w:ascii="仿宋_GB2312" w:hAnsi="仿宋_GB2312" w:eastAsia="仿宋_GB2312" w:cs="仿宋_GB2312"/>
                <w:b w:val="0"/>
                <w:bCs/>
                <w:color w:val="auto"/>
                <w:sz w:val="28"/>
                <w:szCs w:val="28"/>
                <w:lang w:val="en-US" w:eastAsia="zh-CN"/>
              </w:rPr>
              <w:t>m³</w:t>
            </w:r>
            <w:r>
              <w:rPr>
                <w:rFonts w:hint="eastAsia" w:ascii="仿宋_GB2312" w:hAnsi="仿宋_GB2312" w:eastAsia="仿宋_GB2312" w:cs="仿宋_GB2312"/>
                <w:b w:val="0"/>
                <w:bCs/>
                <w:color w:val="auto"/>
                <w:sz w:val="28"/>
                <w:szCs w:val="2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noWrap w:val="0"/>
            <w:vAlign w:val="center"/>
          </w:tcPr>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罐体尺寸</w:t>
            </w:r>
          </w:p>
        </w:tc>
        <w:tc>
          <w:tcPr>
            <w:tcW w:w="6079" w:type="dxa"/>
            <w:noWrap w:val="0"/>
            <w:vAlign w:val="center"/>
          </w:tcPr>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罐体尺寸：ф11.46m×14.4m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noWrap w:val="0"/>
            <w:vAlign w:val="center"/>
          </w:tcPr>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数量</w:t>
            </w:r>
          </w:p>
        </w:tc>
        <w:tc>
          <w:tcPr>
            <w:tcW w:w="6079" w:type="dxa"/>
            <w:noWrap w:val="0"/>
            <w:vAlign w:val="center"/>
          </w:tcPr>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2套</w:t>
            </w:r>
          </w:p>
        </w:tc>
      </w:tr>
    </w:tbl>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lang w:val="en-US" w:eastAsia="zh-CN"/>
        </w:rPr>
        <w:t>检修</w:t>
      </w:r>
      <w:r>
        <w:rPr>
          <w:rFonts w:hint="eastAsia" w:ascii="仿宋_GB2312" w:hAnsi="仿宋_GB2312" w:eastAsia="仿宋_GB2312" w:cs="仿宋_GB2312"/>
          <w:b w:val="0"/>
          <w:bCs/>
          <w:color w:val="auto"/>
          <w:sz w:val="28"/>
          <w:szCs w:val="28"/>
        </w:rPr>
        <w:t>范围：</w:t>
      </w:r>
    </w:p>
    <w:tbl>
      <w:tblPr>
        <w:tblStyle w:val="13"/>
        <w:tblW w:w="8903" w:type="dxa"/>
        <w:jc w:val="center"/>
        <w:tblLayout w:type="fixed"/>
        <w:tblCellMar>
          <w:top w:w="15" w:type="dxa"/>
          <w:left w:w="15" w:type="dxa"/>
          <w:bottom w:w="15" w:type="dxa"/>
          <w:right w:w="15" w:type="dxa"/>
        </w:tblCellMar>
      </w:tblPr>
      <w:tblGrid>
        <w:gridCol w:w="900"/>
        <w:gridCol w:w="1800"/>
        <w:gridCol w:w="1680"/>
        <w:gridCol w:w="939"/>
        <w:gridCol w:w="769"/>
        <w:gridCol w:w="1661"/>
        <w:gridCol w:w="1154"/>
      </w:tblGrid>
      <w:tr>
        <w:tblPrEx>
          <w:tblCellMar>
            <w:top w:w="15" w:type="dxa"/>
            <w:left w:w="15" w:type="dxa"/>
            <w:bottom w:w="15" w:type="dxa"/>
            <w:right w:w="15" w:type="dxa"/>
          </w:tblCellMar>
        </w:tblPrEx>
        <w:trPr>
          <w:trHeight w:val="495" w:hRule="atLeast"/>
          <w:jc w:val="center"/>
        </w:trPr>
        <w:tc>
          <w:tcPr>
            <w:tcW w:w="8903" w:type="dxa"/>
            <w:gridSpan w:val="7"/>
            <w:noWrap w:val="0"/>
            <w:vAlign w:val="bottom"/>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设 备 明 细</w:t>
            </w:r>
          </w:p>
        </w:tc>
      </w:tr>
      <w:tr>
        <w:tblPrEx>
          <w:tblCellMar>
            <w:top w:w="15" w:type="dxa"/>
            <w:left w:w="15" w:type="dxa"/>
            <w:bottom w:w="15" w:type="dxa"/>
            <w:right w:w="15" w:type="dxa"/>
          </w:tblCellMar>
        </w:tblPrEx>
        <w:trPr>
          <w:trHeight w:val="495" w:hRule="atLeast"/>
          <w:jc w:val="center"/>
        </w:trPr>
        <w:tc>
          <w:tcPr>
            <w:tcW w:w="900" w:type="dxa"/>
            <w:tcBorders>
              <w:top w:val="single" w:color="000000" w:sz="12" w:space="0"/>
              <w:left w:val="single" w:color="000000" w:sz="12" w:space="0"/>
              <w:bottom w:val="single" w:color="000000" w:sz="4" w:space="0"/>
              <w:right w:val="single" w:color="000000" w:sz="4" w:space="0"/>
            </w:tcBorders>
            <w:noWrap w:val="0"/>
            <w:vAlign w:val="bottom"/>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序号</w:t>
            </w:r>
          </w:p>
        </w:tc>
        <w:tc>
          <w:tcPr>
            <w:tcW w:w="1800" w:type="dxa"/>
            <w:tcBorders>
              <w:top w:val="single" w:color="000000" w:sz="12" w:space="0"/>
              <w:left w:val="single" w:color="000000" w:sz="4" w:space="0"/>
              <w:bottom w:val="single" w:color="000000" w:sz="4" w:space="0"/>
              <w:right w:val="single" w:color="000000" w:sz="4" w:space="0"/>
            </w:tcBorders>
            <w:noWrap w:val="0"/>
            <w:vAlign w:val="bottom"/>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设 备 名 称</w:t>
            </w:r>
          </w:p>
        </w:tc>
        <w:tc>
          <w:tcPr>
            <w:tcW w:w="1680" w:type="dxa"/>
            <w:tcBorders>
              <w:top w:val="single" w:color="000000" w:sz="12" w:space="0"/>
              <w:left w:val="single" w:color="000000" w:sz="4" w:space="0"/>
              <w:bottom w:val="single" w:color="000000" w:sz="4" w:space="0"/>
              <w:right w:val="single" w:color="000000" w:sz="4" w:space="0"/>
            </w:tcBorders>
            <w:noWrap w:val="0"/>
            <w:vAlign w:val="bottom"/>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型号、规格</w:t>
            </w:r>
          </w:p>
        </w:tc>
        <w:tc>
          <w:tcPr>
            <w:tcW w:w="939" w:type="dxa"/>
            <w:tcBorders>
              <w:top w:val="single" w:color="000000" w:sz="12" w:space="0"/>
              <w:left w:val="single" w:color="000000" w:sz="4" w:space="0"/>
              <w:bottom w:val="single" w:color="000000" w:sz="4" w:space="0"/>
              <w:right w:val="single" w:color="000000" w:sz="4" w:space="0"/>
            </w:tcBorders>
            <w:noWrap w:val="0"/>
            <w:vAlign w:val="bottom"/>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单位</w:t>
            </w:r>
          </w:p>
        </w:tc>
        <w:tc>
          <w:tcPr>
            <w:tcW w:w="769" w:type="dxa"/>
            <w:tcBorders>
              <w:top w:val="single" w:color="000000" w:sz="12" w:space="0"/>
              <w:left w:val="single" w:color="000000" w:sz="4" w:space="0"/>
              <w:bottom w:val="single" w:color="000000" w:sz="4" w:space="0"/>
              <w:right w:val="single" w:color="000000" w:sz="4" w:space="0"/>
            </w:tcBorders>
            <w:noWrap w:val="0"/>
            <w:vAlign w:val="bottom"/>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数量</w:t>
            </w:r>
          </w:p>
        </w:tc>
        <w:tc>
          <w:tcPr>
            <w:tcW w:w="1661" w:type="dxa"/>
            <w:tcBorders>
              <w:top w:val="single" w:color="000000" w:sz="12" w:space="0"/>
              <w:left w:val="single" w:color="000000" w:sz="4" w:space="0"/>
              <w:bottom w:val="single" w:color="000000" w:sz="4" w:space="0"/>
              <w:right w:val="single" w:color="000000" w:sz="4" w:space="0"/>
            </w:tcBorders>
            <w:noWrap w:val="0"/>
            <w:vAlign w:val="bottom"/>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材质</w:t>
            </w:r>
          </w:p>
        </w:tc>
        <w:tc>
          <w:tcPr>
            <w:tcW w:w="1154" w:type="dxa"/>
            <w:tcBorders>
              <w:top w:val="single" w:color="000000" w:sz="12" w:space="0"/>
              <w:left w:val="single" w:color="000000" w:sz="4" w:space="0"/>
              <w:bottom w:val="single" w:color="000000" w:sz="4" w:space="0"/>
              <w:right w:val="single" w:color="000000" w:sz="12" w:space="0"/>
            </w:tcBorders>
            <w:noWrap w:val="0"/>
            <w:vAlign w:val="bottom"/>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备注</w:t>
            </w:r>
          </w:p>
        </w:tc>
      </w:tr>
      <w:tr>
        <w:tblPrEx>
          <w:tblCellMar>
            <w:top w:w="15" w:type="dxa"/>
            <w:left w:w="15" w:type="dxa"/>
            <w:bottom w:w="15" w:type="dxa"/>
            <w:right w:w="15" w:type="dxa"/>
          </w:tblCellMar>
        </w:tblPrEx>
        <w:trPr>
          <w:trHeight w:val="600" w:hRule="atLeast"/>
          <w:jc w:val="center"/>
        </w:trPr>
        <w:tc>
          <w:tcPr>
            <w:tcW w:w="900" w:type="dxa"/>
            <w:tcBorders>
              <w:left w:val="single" w:color="000000" w:sz="12"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进水布水器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Φ200×35000mm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套</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UPVC</w:t>
            </w:r>
          </w:p>
        </w:tc>
        <w:tc>
          <w:tcPr>
            <w:tcW w:w="1154"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p>
        </w:tc>
      </w:tr>
      <w:tr>
        <w:tblPrEx>
          <w:tblCellMar>
            <w:top w:w="15" w:type="dxa"/>
            <w:left w:w="15" w:type="dxa"/>
            <w:bottom w:w="15" w:type="dxa"/>
            <w:right w:w="15" w:type="dxa"/>
          </w:tblCellMar>
        </w:tblPrEx>
        <w:trPr>
          <w:trHeight w:val="660" w:hRule="atLeast"/>
          <w:jc w:val="center"/>
        </w:trPr>
        <w:tc>
          <w:tcPr>
            <w:tcW w:w="900" w:type="dxa"/>
            <w:tcBorders>
              <w:left w:val="single" w:color="000000" w:sz="12"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循环布水及搅拌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Φ200×30000mm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套</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UPVC</w:t>
            </w:r>
          </w:p>
        </w:tc>
        <w:tc>
          <w:tcPr>
            <w:tcW w:w="1154"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p>
        </w:tc>
      </w:tr>
      <w:tr>
        <w:tblPrEx>
          <w:tblCellMar>
            <w:top w:w="15" w:type="dxa"/>
            <w:left w:w="15" w:type="dxa"/>
            <w:bottom w:w="15" w:type="dxa"/>
            <w:right w:w="15" w:type="dxa"/>
          </w:tblCellMar>
        </w:tblPrEx>
        <w:trPr>
          <w:trHeight w:val="720" w:hRule="atLeast"/>
          <w:jc w:val="center"/>
        </w:trPr>
        <w:tc>
          <w:tcPr>
            <w:tcW w:w="900" w:type="dxa"/>
            <w:tcBorders>
              <w:left w:val="single" w:color="000000" w:sz="12"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微生物承载器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与罐体配套</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套</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不锈钢304</w:t>
            </w:r>
          </w:p>
        </w:tc>
        <w:tc>
          <w:tcPr>
            <w:tcW w:w="1154"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p>
        </w:tc>
      </w:tr>
      <w:tr>
        <w:tblPrEx>
          <w:tblCellMar>
            <w:top w:w="15" w:type="dxa"/>
            <w:left w:w="15" w:type="dxa"/>
            <w:bottom w:w="15" w:type="dxa"/>
            <w:right w:w="15" w:type="dxa"/>
          </w:tblCellMar>
        </w:tblPrEx>
        <w:trPr>
          <w:trHeight w:val="495" w:hRule="atLeast"/>
          <w:jc w:val="center"/>
        </w:trPr>
        <w:tc>
          <w:tcPr>
            <w:tcW w:w="900" w:type="dxa"/>
            <w:tcBorders>
              <w:left w:val="single" w:color="000000" w:sz="12"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填料</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Φ150×9000mm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立方</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2000</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PP</w:t>
            </w:r>
          </w:p>
        </w:tc>
        <w:tc>
          <w:tcPr>
            <w:tcW w:w="1154"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p>
        </w:tc>
      </w:tr>
      <w:tr>
        <w:tblPrEx>
          <w:tblCellMar>
            <w:top w:w="15" w:type="dxa"/>
            <w:left w:w="15" w:type="dxa"/>
            <w:bottom w:w="15" w:type="dxa"/>
            <w:right w:w="15" w:type="dxa"/>
          </w:tblCellMar>
        </w:tblPrEx>
        <w:trPr>
          <w:trHeight w:val="525" w:hRule="atLeast"/>
          <w:jc w:val="center"/>
        </w:trPr>
        <w:tc>
          <w:tcPr>
            <w:tcW w:w="900" w:type="dxa"/>
            <w:tcBorders>
              <w:left w:val="single" w:color="000000" w:sz="12"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气水分离装置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Ф300×1000mm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套</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SUS304</w:t>
            </w:r>
          </w:p>
        </w:tc>
        <w:tc>
          <w:tcPr>
            <w:tcW w:w="1154"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p>
        </w:tc>
      </w:tr>
      <w:tr>
        <w:tblPrEx>
          <w:tblCellMar>
            <w:top w:w="15" w:type="dxa"/>
            <w:left w:w="15" w:type="dxa"/>
            <w:bottom w:w="15" w:type="dxa"/>
            <w:right w:w="15" w:type="dxa"/>
          </w:tblCellMar>
        </w:tblPrEx>
        <w:trPr>
          <w:trHeight w:val="570" w:hRule="atLeast"/>
          <w:jc w:val="center"/>
        </w:trPr>
        <w:tc>
          <w:tcPr>
            <w:tcW w:w="900" w:type="dxa"/>
            <w:tcBorders>
              <w:left w:val="single" w:color="000000" w:sz="12"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收水装置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Φ150×14000mm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套</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UPVC</w:t>
            </w:r>
          </w:p>
        </w:tc>
        <w:tc>
          <w:tcPr>
            <w:tcW w:w="1154"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p>
        </w:tc>
      </w:tr>
      <w:tr>
        <w:tblPrEx>
          <w:tblCellMar>
            <w:top w:w="15" w:type="dxa"/>
            <w:left w:w="15" w:type="dxa"/>
            <w:bottom w:w="15" w:type="dxa"/>
            <w:right w:w="15" w:type="dxa"/>
          </w:tblCellMar>
        </w:tblPrEx>
        <w:trPr>
          <w:trHeight w:val="660" w:hRule="atLeast"/>
          <w:jc w:val="center"/>
        </w:trPr>
        <w:tc>
          <w:tcPr>
            <w:tcW w:w="900" w:type="dxa"/>
            <w:tcBorders>
              <w:left w:val="single" w:color="000000" w:sz="12"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污泥收、排装置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与罐体配套</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套</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UPVC</w:t>
            </w:r>
          </w:p>
        </w:tc>
        <w:tc>
          <w:tcPr>
            <w:tcW w:w="1154"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p>
        </w:tc>
      </w:tr>
      <w:tr>
        <w:tblPrEx>
          <w:tblCellMar>
            <w:top w:w="15" w:type="dxa"/>
            <w:left w:w="15" w:type="dxa"/>
            <w:bottom w:w="15" w:type="dxa"/>
            <w:right w:w="15" w:type="dxa"/>
          </w:tblCellMar>
        </w:tblPrEx>
        <w:trPr>
          <w:trHeight w:val="720" w:hRule="atLeast"/>
          <w:jc w:val="center"/>
        </w:trPr>
        <w:tc>
          <w:tcPr>
            <w:tcW w:w="900" w:type="dxa"/>
            <w:tcBorders>
              <w:left w:val="single" w:color="000000" w:sz="12"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水封器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Ф620×1200mm（H)mm</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台</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SUS304</w:t>
            </w:r>
          </w:p>
        </w:tc>
        <w:tc>
          <w:tcPr>
            <w:tcW w:w="1154"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80" w:lineRule="exact"/>
              <w:jc w:val="center"/>
              <w:rPr>
                <w:rFonts w:hint="eastAsia" w:ascii="仿宋_GB2312" w:hAnsi="仿宋_GB2312" w:eastAsia="仿宋_GB2312" w:cs="仿宋_GB2312"/>
                <w:b w:val="0"/>
                <w:bCs/>
                <w:color w:val="auto"/>
                <w:sz w:val="28"/>
                <w:szCs w:val="28"/>
              </w:rPr>
            </w:pPr>
          </w:p>
        </w:tc>
      </w:tr>
    </w:tbl>
    <w:p>
      <w:pPr>
        <w:widowControl/>
        <w:spacing w:line="480" w:lineRule="exact"/>
        <w:ind w:firstLine="560" w:firstLineChars="2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注：界区内所有应配物品，技术协议与规格书未提到的，由厂家免费提供，未尽事宜，由乙方负责。</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、设计和现场条件</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1、现场条件</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 </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安装场所：室外</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2、设计条件：</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设备服务对象：为污水去除COD</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设计条件：此工程采用2座厌氧设备</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4</w:t>
      </w:r>
      <w:r>
        <w:rPr>
          <w:rFonts w:hint="eastAsia" w:ascii="仿宋_GB2312" w:hAnsi="仿宋_GB2312" w:eastAsia="仿宋_GB2312" w:cs="仿宋_GB2312"/>
          <w:b w:val="0"/>
          <w:bCs/>
          <w:color w:val="auto"/>
          <w:sz w:val="28"/>
          <w:szCs w:val="28"/>
        </w:rPr>
        <w:t>、工艺参数</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4.1、设计水量： 200m3/d</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4.2、名称、规格及数量</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名    称：  厌氧反应器</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数    量：  1座</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处理规模： </w:t>
      </w:r>
      <w:r>
        <w:rPr>
          <w:rFonts w:hint="eastAsia" w:ascii="仿宋_GB2312" w:hAnsi="仿宋_GB2312" w:eastAsia="仿宋_GB2312" w:cs="仿宋_GB2312"/>
          <w:b w:val="0"/>
          <w:bCs/>
          <w:color w:val="auto"/>
          <w:sz w:val="28"/>
          <w:szCs w:val="28"/>
          <w:lang w:val="en-US" w:eastAsia="zh-CN"/>
        </w:rPr>
        <w:t xml:space="preserve"> 8.3</w:t>
      </w:r>
      <w:r>
        <w:rPr>
          <w:rFonts w:hint="eastAsia" w:ascii="仿宋_GB2312" w:hAnsi="仿宋_GB2312" w:eastAsia="仿宋_GB2312" w:cs="仿宋_GB2312"/>
          <w:b w:val="0"/>
          <w:bCs/>
          <w:color w:val="auto"/>
          <w:sz w:val="28"/>
          <w:szCs w:val="28"/>
        </w:rPr>
        <w:t>m3/h</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5</w:t>
      </w:r>
      <w:r>
        <w:rPr>
          <w:rFonts w:hint="eastAsia" w:ascii="仿宋_GB2312" w:hAnsi="仿宋_GB2312" w:eastAsia="仿宋_GB2312" w:cs="仿宋_GB2312"/>
          <w:b w:val="0"/>
          <w:bCs/>
          <w:color w:val="auto"/>
          <w:sz w:val="28"/>
          <w:szCs w:val="28"/>
        </w:rPr>
        <w:t>、厌氧设备技术要求</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1）技术选择的原则</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    厌氧设备工艺技术、所选用的设备和设计参数必须是可靠先进的，卖方应具有丰富的设计、制造、成套和生产运行的经验。所提供的整套工艺必须是运行可靠、技术成熟、操作方便、能耗低、安全性好、控制容易、连续运转周期不少于二年的产品。满足厌氧内部设施使用寿命</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年</w:t>
      </w:r>
    </w:p>
    <w:p>
      <w:pPr>
        <w:widowControl/>
        <w:spacing w:line="480" w:lineRule="exact"/>
        <w:jc w:val="left"/>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rPr>
        <w:t>）工程质量</w:t>
      </w:r>
    </w:p>
    <w:p>
      <w:pPr>
        <w:widowControl/>
        <w:spacing w:line="480" w:lineRule="exact"/>
        <w:ind w:firstLine="560" w:firstLineChars="2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所有设备制作，焊接质量应符合甲方</w:t>
      </w:r>
      <w:r>
        <w:rPr>
          <w:rFonts w:hint="eastAsia" w:ascii="仿宋_GB2312" w:hAnsi="仿宋_GB2312" w:eastAsia="仿宋_GB2312" w:cs="仿宋_GB2312"/>
          <w:b w:val="0"/>
          <w:bCs/>
          <w:color w:val="auto"/>
          <w:sz w:val="28"/>
          <w:szCs w:val="28"/>
          <w:lang w:val="en-US" w:eastAsia="zh-CN"/>
        </w:rPr>
        <w:t>要求</w:t>
      </w:r>
      <w:r>
        <w:rPr>
          <w:rFonts w:hint="eastAsia" w:ascii="仿宋_GB2312" w:hAnsi="仿宋_GB2312" w:eastAsia="仿宋_GB2312" w:cs="仿宋_GB2312"/>
          <w:b w:val="0"/>
          <w:bCs/>
          <w:color w:val="auto"/>
          <w:sz w:val="28"/>
          <w:szCs w:val="28"/>
        </w:rPr>
        <w:t>、《现场设备、工艺管道焊接工程施工及验收规范》GB50236-98</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《立式圆筒形钢制储罐施工及验收规范》GB50129-2005、及国家相关规范要求。</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3）设计基本要求</w:t>
      </w:r>
    </w:p>
    <w:p>
      <w:pPr>
        <w:widowControl/>
        <w:spacing w:line="480" w:lineRule="exact"/>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  （1）整套工艺要求运行可靠、操作方便、节省占地、布置经济合理、安全低耗。</w:t>
      </w:r>
    </w:p>
    <w:p>
      <w:pPr>
        <w:widowControl/>
        <w:spacing w:line="480" w:lineRule="exact"/>
        <w:ind w:firstLine="280" w:firstLineChars="1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（2）具有较高的容积负荷。</w:t>
      </w:r>
    </w:p>
    <w:p>
      <w:pPr>
        <w:widowControl/>
        <w:spacing w:line="480" w:lineRule="exact"/>
        <w:ind w:firstLine="280" w:firstLineChars="1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（3）应具备适应水质波动能力，可以在要求的生产能力负荷下经济、安全地运行，而无需增加任何设施。</w:t>
      </w:r>
    </w:p>
    <w:p>
      <w:pPr>
        <w:widowControl/>
        <w:spacing w:line="480" w:lineRule="exact"/>
        <w:ind w:firstLine="280" w:firstLineChars="1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（4）布置原则</w:t>
      </w:r>
    </w:p>
    <w:p>
      <w:pPr>
        <w:widowControl/>
        <w:spacing w:line="480" w:lineRule="exact"/>
        <w:ind w:firstLine="560" w:firstLineChars="2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设备布置的一般设计原则是能保证厌氧池所配套的设备便于操作、安装、维修等。同时还应满足和符合国家和地方消防法规、防爆及安全和卫生标准。</w:t>
      </w:r>
    </w:p>
    <w:p>
      <w:pPr>
        <w:widowControl/>
        <w:spacing w:line="480" w:lineRule="exact"/>
        <w:ind w:firstLine="280" w:firstLineChars="1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（5）配管要求</w:t>
      </w:r>
    </w:p>
    <w:p>
      <w:pPr>
        <w:widowControl/>
        <w:spacing w:line="480" w:lineRule="exact"/>
        <w:ind w:firstLine="560" w:firstLineChars="2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采用有效措施或技术，以保证配管能适合于池。对配管系统的安全性以及管道元件的使用寿命要有明确的阐述。</w:t>
      </w:r>
    </w:p>
    <w:p>
      <w:pPr>
        <w:widowControl/>
        <w:spacing w:line="480" w:lineRule="exact"/>
        <w:ind w:firstLine="280" w:firstLineChars="1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6</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设备和机械设计要求</w:t>
      </w:r>
    </w:p>
    <w:p>
      <w:pPr>
        <w:widowControl/>
        <w:spacing w:line="480" w:lineRule="exact"/>
        <w:ind w:firstLine="560" w:firstLineChars="2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国内设计制造的设备和机械应符合相应的国家标准和/或行业标准的规定。特殊设备和机械应符合专业制造厂商的标准规范。</w:t>
      </w:r>
    </w:p>
    <w:p>
      <w:pPr>
        <w:widowControl/>
        <w:spacing w:line="480" w:lineRule="exact"/>
        <w:ind w:firstLine="280" w:firstLineChars="100"/>
        <w:jc w:val="lef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lang w:val="en-US" w:eastAsia="zh-CN"/>
        </w:rPr>
        <w:t>7</w:t>
      </w:r>
      <w:r>
        <w:rPr>
          <w:rFonts w:hint="eastAsia" w:ascii="仿宋_GB2312" w:hAnsi="仿宋_GB2312" w:eastAsia="仿宋_GB2312" w:cs="仿宋_GB2312"/>
          <w:b w:val="0"/>
          <w:bCs/>
          <w:color w:val="auto"/>
          <w:sz w:val="28"/>
          <w:szCs w:val="28"/>
        </w:rPr>
        <w:t>）应按技术规范所规定的范围进行设备供货、检验、运输，并提供安装指导、调试、人员培训、试运行、性能考核、运行期间的售后服务等技术服务，以及所有其它为完善安装运行所必要的项目，所有这些不管是否在本规定或设备清单上明确过，投标价格应看作为已包括所有这些项目。对所供设备是否满足工艺操作要求以及产品质量承担全部责任。</w:t>
      </w:r>
    </w:p>
    <w:p>
      <w:pPr>
        <w:widowControl/>
        <w:spacing w:line="480" w:lineRule="exact"/>
        <w:jc w:val="left"/>
        <w:rPr>
          <w:rFonts w:hint="eastAsia" w:ascii="仿宋_GB2312" w:hAnsi="Arial" w:eastAsia="仿宋_GB2312"/>
          <w:b w:val="0"/>
          <w:bCs/>
          <w:color w:val="auto"/>
          <w:sz w:val="28"/>
          <w:szCs w:val="28"/>
        </w:rPr>
      </w:pPr>
    </w:p>
    <w:p>
      <w:pPr>
        <w:pStyle w:val="16"/>
        <w:rPr>
          <w:rFonts w:hint="eastAsia" w:ascii="仿宋_GB2312" w:hAnsi="Arial" w:eastAsia="仿宋_GB2312"/>
          <w:b/>
          <w:color w:val="auto"/>
          <w:sz w:val="28"/>
          <w:szCs w:val="28"/>
        </w:rPr>
      </w:pPr>
    </w:p>
    <w:p>
      <w:pPr>
        <w:pStyle w:val="16"/>
        <w:rPr>
          <w:rFonts w:hint="eastAsia" w:ascii="仿宋_GB2312" w:hAnsi="Arial" w:eastAsia="仿宋_GB2312"/>
          <w:b/>
          <w:color w:val="auto"/>
          <w:sz w:val="28"/>
          <w:szCs w:val="28"/>
        </w:rPr>
      </w:pPr>
    </w:p>
    <w:p>
      <w:pPr>
        <w:pStyle w:val="16"/>
        <w:rPr>
          <w:rFonts w:hint="eastAsia" w:ascii="仿宋_GB2312" w:hAnsi="Arial" w:eastAsia="仿宋_GB2312"/>
          <w:b/>
          <w:color w:val="auto"/>
          <w:sz w:val="28"/>
          <w:szCs w:val="28"/>
        </w:rPr>
      </w:pPr>
    </w:p>
    <w:p>
      <w:pPr>
        <w:pStyle w:val="16"/>
        <w:rPr>
          <w:rFonts w:hint="eastAsia" w:ascii="仿宋_GB2312" w:hAnsi="Arial" w:eastAsia="仿宋_GB2312"/>
          <w:b/>
          <w:color w:val="auto"/>
          <w:sz w:val="28"/>
          <w:szCs w:val="28"/>
        </w:rPr>
      </w:pPr>
    </w:p>
    <w:p>
      <w:pPr>
        <w:pStyle w:val="16"/>
        <w:rPr>
          <w:rFonts w:hint="eastAsia" w:ascii="仿宋_GB2312" w:hAnsi="Arial" w:eastAsia="仿宋_GB2312"/>
          <w:b/>
          <w:color w:val="auto"/>
          <w:sz w:val="28"/>
          <w:szCs w:val="28"/>
        </w:rPr>
      </w:pPr>
    </w:p>
    <w:p>
      <w:pPr>
        <w:pStyle w:val="16"/>
        <w:rPr>
          <w:rFonts w:hint="eastAsia" w:ascii="仿宋_GB2312" w:hAnsi="Arial" w:eastAsia="仿宋_GB2312"/>
          <w:b/>
          <w:color w:val="auto"/>
          <w:sz w:val="28"/>
          <w:szCs w:val="28"/>
        </w:rPr>
      </w:pPr>
    </w:p>
    <w:p>
      <w:pPr>
        <w:pStyle w:val="16"/>
        <w:rPr>
          <w:rFonts w:hint="eastAsia" w:ascii="仿宋_GB2312" w:hAnsi="Arial" w:eastAsia="仿宋_GB2312"/>
          <w:b/>
          <w:color w:val="auto"/>
          <w:sz w:val="28"/>
          <w:szCs w:val="28"/>
        </w:rPr>
      </w:pPr>
    </w:p>
    <w:p>
      <w:pPr>
        <w:pStyle w:val="16"/>
        <w:rPr>
          <w:rFonts w:hint="eastAsia" w:ascii="仿宋_GB2312" w:hAnsi="Arial" w:eastAsia="仿宋_GB2312"/>
          <w:b/>
          <w:color w:val="auto"/>
          <w:sz w:val="28"/>
          <w:szCs w:val="28"/>
        </w:rPr>
      </w:pPr>
    </w:p>
    <w:p>
      <w:pPr>
        <w:pStyle w:val="16"/>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附件5：</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lang w:val="en-US" w:eastAsia="zh-CN"/>
        </w:rPr>
      </w:pPr>
      <w:bookmarkStart w:id="1" w:name="_GoBack"/>
      <w:bookmarkEnd w:id="1"/>
    </w:p>
    <w:sectPr>
      <w:pgSz w:w="11907" w:h="16840"/>
      <w:pgMar w:top="1361" w:right="1418" w:bottom="1361" w:left="1418" w:header="851" w:footer="964" w:gutter="284"/>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639213D"/>
    <w:rsid w:val="08DF5321"/>
    <w:rsid w:val="090647EE"/>
    <w:rsid w:val="0C6368FF"/>
    <w:rsid w:val="109D7692"/>
    <w:rsid w:val="10C1008B"/>
    <w:rsid w:val="12CD3DBB"/>
    <w:rsid w:val="13934D27"/>
    <w:rsid w:val="148D0DA3"/>
    <w:rsid w:val="17B90DF1"/>
    <w:rsid w:val="1A6803B6"/>
    <w:rsid w:val="1BAA22BC"/>
    <w:rsid w:val="1BAA299A"/>
    <w:rsid w:val="1C4F2D03"/>
    <w:rsid w:val="1CE1760F"/>
    <w:rsid w:val="217B04DD"/>
    <w:rsid w:val="262E23F9"/>
    <w:rsid w:val="26515CFA"/>
    <w:rsid w:val="2AEA6823"/>
    <w:rsid w:val="2B236C4F"/>
    <w:rsid w:val="2BC44B39"/>
    <w:rsid w:val="2CB7386A"/>
    <w:rsid w:val="2FA0105D"/>
    <w:rsid w:val="33FF662F"/>
    <w:rsid w:val="35FD0039"/>
    <w:rsid w:val="3A2B02EC"/>
    <w:rsid w:val="3D361A26"/>
    <w:rsid w:val="3F6F5ED1"/>
    <w:rsid w:val="400B247B"/>
    <w:rsid w:val="44975ED4"/>
    <w:rsid w:val="46B457D0"/>
    <w:rsid w:val="47261C3D"/>
    <w:rsid w:val="4A4B5641"/>
    <w:rsid w:val="4AD66A58"/>
    <w:rsid w:val="4C112FF3"/>
    <w:rsid w:val="4C852A0A"/>
    <w:rsid w:val="4D6E7039"/>
    <w:rsid w:val="4DB538B9"/>
    <w:rsid w:val="4DD94EEC"/>
    <w:rsid w:val="4E1253E1"/>
    <w:rsid w:val="4FBF6451"/>
    <w:rsid w:val="50F1344C"/>
    <w:rsid w:val="52171610"/>
    <w:rsid w:val="54A01153"/>
    <w:rsid w:val="54BC3F27"/>
    <w:rsid w:val="54E62189"/>
    <w:rsid w:val="575E3F95"/>
    <w:rsid w:val="57F37334"/>
    <w:rsid w:val="59D32AE1"/>
    <w:rsid w:val="5F6302C6"/>
    <w:rsid w:val="604F449B"/>
    <w:rsid w:val="6088559E"/>
    <w:rsid w:val="63D66318"/>
    <w:rsid w:val="65D60782"/>
    <w:rsid w:val="67755B92"/>
    <w:rsid w:val="67AE736F"/>
    <w:rsid w:val="68303598"/>
    <w:rsid w:val="694D4756"/>
    <w:rsid w:val="6A9F07BD"/>
    <w:rsid w:val="6CEF242D"/>
    <w:rsid w:val="70E509B9"/>
    <w:rsid w:val="70E94540"/>
    <w:rsid w:val="7129774D"/>
    <w:rsid w:val="72201FFF"/>
    <w:rsid w:val="74E25B87"/>
    <w:rsid w:val="770C66B0"/>
    <w:rsid w:val="78FA3646"/>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spacing w:line="0" w:lineRule="atLeast"/>
    </w:pPr>
    <w:rPr>
      <w:sz w:val="30"/>
      <w:szCs w:val="20"/>
    </w:rPr>
  </w:style>
  <w:style w:type="paragraph" w:styleId="7">
    <w:name w:val="Body Text Indent"/>
    <w:basedOn w:val="1"/>
    <w:qFormat/>
    <w:uiPriority w:val="0"/>
    <w:pPr>
      <w:spacing w:after="120" w:afterLines="0"/>
      <w:ind w:left="420" w:leftChars="200"/>
    </w:pPr>
  </w:style>
  <w:style w:type="paragraph" w:styleId="8">
    <w:name w:val="Plain Text"/>
    <w:basedOn w:val="1"/>
    <w:qFormat/>
    <w:uiPriority w:val="0"/>
    <w:rPr>
      <w:rFonts w:ascii="宋体" w:hAnsi="Courier New"/>
      <w:szCs w:val="20"/>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paragraph" w:styleId="12">
    <w:name w:val="Body Text First Indent 2"/>
    <w:basedOn w:val="7"/>
    <w:next w:val="1"/>
    <w:qFormat/>
    <w:uiPriority w:val="0"/>
    <w:pPr>
      <w:adjustRightInd/>
      <w:snapToGrid/>
      <w:spacing w:after="120" w:line="240" w:lineRule="auto"/>
      <w:ind w:left="200" w:leftChars="200" w:firstLine="200" w:firstLineChars="200"/>
      <w:textAlignment w:val="auto"/>
    </w:pPr>
    <w:rPr>
      <w:kern w:val="2"/>
      <w:sz w:val="21"/>
    </w:rPr>
  </w:style>
  <w:style w:type="character" w:styleId="15">
    <w:name w:val="page number"/>
    <w:basedOn w:val="14"/>
    <w:qFormat/>
    <w:uiPriority w:val="0"/>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NormalCharacter"/>
    <w:semiHidden/>
    <w:qFormat/>
    <w:uiPriority w:val="0"/>
  </w:style>
  <w:style w:type="paragraph" w:customStyle="1" w:styleId="1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8216</Words>
  <Characters>8636</Characters>
  <Lines>0</Lines>
  <Paragraphs>0</Paragraphs>
  <TotalTime>27</TotalTime>
  <ScaleCrop>false</ScaleCrop>
  <LinksUpToDate>false</LinksUpToDate>
  <CharactersWithSpaces>9880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Administrator</cp:lastModifiedBy>
  <cp:lastPrinted>2022-10-14T08:03:00Z</cp:lastPrinted>
  <dcterms:modified xsi:type="dcterms:W3CDTF">2022-11-24T08:40:41Z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DE3B324738834277BD6599C5B6C98F0B</vt:lpwstr>
  </property>
</Properties>
</file>